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5F" w:rsidRDefault="0058625F" w:rsidP="0058625F">
      <w:pPr>
        <w:jc w:val="both"/>
        <w:rPr>
          <w:rFonts w:cs="Verdana"/>
        </w:rPr>
      </w:pPr>
      <w:bookmarkStart w:id="0" w:name="_GoBack"/>
      <w:bookmarkEnd w:id="0"/>
      <w:r>
        <w:rPr>
          <w:rFonts w:cs="Verdana"/>
          <w:b/>
          <w:bCs/>
        </w:rPr>
        <w:t>Dz.U.2014.204</w:t>
      </w:r>
    </w:p>
    <w:p w:rsidR="0058625F" w:rsidRDefault="0058625F" w:rsidP="0058625F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ROZPORZĄDZENIE</w:t>
      </w:r>
    </w:p>
    <w:p w:rsidR="0058625F" w:rsidRDefault="0058625F" w:rsidP="0058625F">
      <w:pPr>
        <w:jc w:val="center"/>
        <w:rPr>
          <w:rFonts w:cs="Verdana"/>
        </w:rPr>
      </w:pPr>
      <w:r>
        <w:rPr>
          <w:rFonts w:cs="Verdana"/>
          <w:b/>
          <w:bCs/>
        </w:rPr>
        <w:t>KRAJOWEJ RADY RADIOFONII I TELEWIZJI</w:t>
      </w:r>
    </w:p>
    <w:p w:rsidR="0058625F" w:rsidRDefault="0058625F" w:rsidP="0058625F">
      <w:pPr>
        <w:spacing w:before="240"/>
        <w:jc w:val="center"/>
        <w:rPr>
          <w:rFonts w:cs="Verdana"/>
        </w:rPr>
      </w:pPr>
      <w:r>
        <w:rPr>
          <w:rFonts w:cs="Verdana"/>
        </w:rPr>
        <w:t>z dnia 30 czerwca 2011 r.</w:t>
      </w:r>
    </w:p>
    <w:p w:rsidR="0058625F" w:rsidRDefault="0058625F" w:rsidP="0058625F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w sprawie sposobu prowadzenia w programach radiowych i telewizyjnych działalności reklamowej i telesprzedaży</w:t>
      </w:r>
    </w:p>
    <w:p w:rsidR="0058625F" w:rsidRDefault="0058625F" w:rsidP="0058625F">
      <w:pPr>
        <w:spacing w:before="240" w:after="240"/>
        <w:jc w:val="center"/>
        <w:rPr>
          <w:rFonts w:cs="Verdana"/>
        </w:rPr>
      </w:pPr>
      <w:r>
        <w:rPr>
          <w:rFonts w:cs="Verdana"/>
        </w:rPr>
        <w:t>(tekst jednolity)</w:t>
      </w:r>
    </w:p>
    <w:p w:rsidR="0058625F" w:rsidRDefault="0058625F" w:rsidP="0058625F">
      <w:pPr>
        <w:spacing w:before="240" w:after="240"/>
        <w:ind w:firstLine="431"/>
        <w:jc w:val="both"/>
        <w:rPr>
          <w:rFonts w:cs="Verdana"/>
        </w:rPr>
      </w:pPr>
      <w:r>
        <w:rPr>
          <w:rFonts w:cs="Verdana"/>
        </w:rPr>
        <w:t>Na podstawie art. 16 ust. 7 ustawy z dnia 29 grudnia 1992 r. o radiofonii i telewizji (Dz. U. z 2011 r. Nr 43, poz. 226, z późn. zm.) zarządza się, co następuje: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1.</w:t>
      </w:r>
      <w:r>
        <w:rPr>
          <w:rFonts w:cs="Verdana"/>
        </w:rPr>
        <w:t> Rozporządzenie określa: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warunki nadawania, w tym wyodrębniania, oznaczania i umieszczania reklam i telesprzedaży w programach;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szczegółowe wymagania dla ogłoszeń nadawców, o których mowa w art. 16 ust. 4 pkt 1 i 2 ustawy z dnia 29 grudnia 1992 r. o radiofonii i telewizji, zwanej dalej "ustawą", oraz sposób ich oznaczania i umieszczania w programach;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wymagania dotyczące osób, których głos lub wizerunek jest wykorzystywany w reklamach, z uwzględnieniem zakresu ograniczeń w prowadzeniu przez nie innych audycji w programach radiowych i telewizyjnych;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zakres udostępniania przez nadawcę czasu wykorzystywanego na reklamy i telesprzedaż, w tym maksymalny wymiar czasu w okresie rocznym dla jednego przedsiębiorcy lub ugrupowania gospodarczego;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sposób prowadzenia i przechowywania przez nadawcę ewidencji czasu nadawanych reklam i telesprzedaży oraz zakres danych objętych tą ewidencją.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2.</w:t>
      </w:r>
      <w:r>
        <w:rPr>
          <w:rFonts w:cs="Verdana"/>
        </w:rPr>
        <w:t> 1. Dzienny czas rozpowszechniania programu oznacza ilość godzin programu rozpowszechnianego przez nadawcę w okresie 24 godzin liczonych od godziny 6</w:t>
      </w:r>
      <w:r>
        <w:rPr>
          <w:rFonts w:cs="Verdana"/>
          <w:vertAlign w:val="superscript"/>
        </w:rPr>
        <w:t>00</w:t>
      </w:r>
      <w:r>
        <w:rPr>
          <w:rFonts w:cs="Verdana"/>
        </w:rPr>
        <w:t>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Godzina zegarowa oznacza jedną godzinę dziennego czasu rozpowszechniania programu, o którym mowa w ust. 1.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3. W przypadku rozpowszechniania programu przez niepełną godzinę zegarową dopuszczalny godzinowy czas nadawania reklam i telesprzedaży ulega proporcjonalnemu skróceniu.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3.</w:t>
      </w:r>
      <w:r>
        <w:rPr>
          <w:rFonts w:cs="Verdana"/>
        </w:rPr>
        <w:t> 1. Reklama i telesprzedaż powinny być wyodrębnione od innych części programu i oznaczone w sposób wizualny, dźwiękowy lub przestrzenny na początku i na końcu bloku.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Oznaczenie reklamy, z wyłączeniem autopromocji, powinno zawierać słowo "reklama" lub "ogłoszenie płatne".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3. Oznaczenie autopromocji powinno zawierać słowo "autopromocja", chyba że autopromocja nadawana jest łącznie z innymi reklamami w bloku oznaczonym zgodnie z ust. 1 i 2.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4. Oznaczenie telesprzedaży powinno zawierać słowo "telesprzedaż", chyba że telesprzedaż nadawana jest łącznie z reklamami w bloku oznaczonym zgodnie z ust. 1 i 2.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4.</w:t>
      </w:r>
      <w:r>
        <w:rPr>
          <w:rFonts w:cs="Verdana"/>
        </w:rPr>
        <w:t> 1. Reklama lub telesprzedaż na podzielonym ekranie powinny być w wyraźny sposób wyodrębnione od reszty programu za pomocą środków wizualnych, a oznaczenie części ekranu zajmowanej przez reklamę lub telesprzedaż powinno zawierać słowo "reklama", "autopromocja" lub "telesprzedaż" umieszczone przez cały czas jej trwania.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Przekazy, o których mowa w ust. 1, oznacza się zgodnie z zasadami określonymi w § 3 ust. 2-4.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 xml:space="preserve">3. Podczas emisji przekazu, o którym mowa w ust. 1, część ekranu zajmowana przez </w:t>
      </w:r>
      <w:r>
        <w:rPr>
          <w:rFonts w:cs="Verdana"/>
        </w:rPr>
        <w:lastRenderedPageBreak/>
        <w:t>reklamę lub telesprzedaż nie może zajmować więcej niż 25% powierzchni ekranu.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5.</w:t>
      </w:r>
      <w:r>
        <w:rPr>
          <w:rFonts w:cs="Verdana"/>
        </w:rPr>
        <w:t> 1. W przypadku rozpowszechniania w programie telewizyjnym przekazu handlowego dotyczącego loterii audioteksowych, o których mowa w art. 2 ust. 1 pkt 11 ustawy z dnia 19 listopada 2009 r. o grach hazardowych (Dz. U. Nr 201, poz. 1540, z późn. zm.), oraz przekazu handlowego dotyczącego publicznie dostępnej usługi telekomunikacyjnej obejmującej usługę telekomunikacyjną z dodatkowym świadczeniem, o której mowa w art. 64 ustawy z dnia 16 lipca 2004 r. - Prawo telekomunikacyjne (Dz. U. Nr 171, poz. 1800, z późn. zm.):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napis informujący o cenie za jednostkę rozliczeniową usługi albo cenie za połączenie, w przypadku usługi taryfikowanej za całe połączenie, ze wskazaniem ceny brutto oraz o nazwie podmiotu realizującego dodatkowe świadczenie umieszcza się każdorazowo podczas całego czasu rozpowszechniania informacji zawierającej numer usługi;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rozmiar czcionki napisu, o którym mowa w pkt 1, nie może być mniejszy niż 60% rozmiaru czcionki numeru tej usługi;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napis, o którym mowa w pkt 1, powinien być emitowany w sposób czytelny, a jego forma graficzna powinna być zgodna z formą graficzną informacji zawierającej numer usługi, w szczególności w zakresie:</w:t>
      </w:r>
    </w:p>
    <w:p w:rsidR="0058625F" w:rsidRDefault="0058625F" w:rsidP="0058625F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a)</w:t>
      </w:r>
      <w:r>
        <w:rPr>
          <w:rFonts w:cs="Verdana"/>
        </w:rPr>
        <w:tab/>
        <w:t>kroju i koloru czcionki,</w:t>
      </w:r>
    </w:p>
    <w:p w:rsidR="0058625F" w:rsidRDefault="0058625F" w:rsidP="0058625F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b)</w:t>
      </w:r>
      <w:r>
        <w:rPr>
          <w:rFonts w:cs="Verdana"/>
        </w:rPr>
        <w:tab/>
        <w:t>rodzaju i koloru tła,</w:t>
      </w:r>
    </w:p>
    <w:p w:rsidR="0058625F" w:rsidRDefault="0058625F" w:rsidP="0058625F">
      <w:pPr>
        <w:tabs>
          <w:tab w:val="left" w:pos="680"/>
        </w:tabs>
        <w:ind w:left="680" w:hanging="272"/>
        <w:jc w:val="both"/>
        <w:rPr>
          <w:rFonts w:cs="Verdana"/>
        </w:rPr>
      </w:pPr>
      <w:r>
        <w:rPr>
          <w:rFonts w:cs="Verdana"/>
        </w:rPr>
        <w:t>c)</w:t>
      </w:r>
      <w:r>
        <w:rPr>
          <w:rFonts w:cs="Verdana"/>
        </w:rPr>
        <w:tab/>
        <w:t>rodzaju i koloru wypełnienia liter.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W przypadku rozpowszechniania w programie radiowym przekazów handlowych, o których mowa w ust. 1, komunikat informujący o cenie za jednostkę rozliczeniową usługi albo cenie za połączenie, w przypadku usługi taryfikowanej za całe połączenie, ze wskazaniem ceny brutto oraz o nazwie podmiotu realizującego dodatkowe świadczenie, czytany przez lektora, umieszcza się bezpośrednio przed lub po komunikacie zawierającym numer telefonu.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6.</w:t>
      </w:r>
      <w:r>
        <w:rPr>
          <w:rFonts w:cs="Verdana"/>
        </w:rPr>
        <w:t> 1. Ogłoszenia nadawców telewizyjnych, o których mowa w art. 16 ust. 4 pkt 1 i 2 ustawy, powinny być wyodrębnione od innych części programu oraz przekazów handlowych i oznaczone w sposób wizualny komunikatem "ogłoszenie nadawcy".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Ogłoszenia nadawców radiowych, o których mowa w art. 16 ust. 4 pkt 1 i 2 ustawy, powinny być oznaczone dźwiękowo w sposób niebudzący wątpliwości, że pochodzą od nadawcy, oraz wyodrębnione od innych części programu i przekazów handlowych.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3. Do ogłoszeń nadawców, o których mowa w art. 16 ust. 4 pkt 1 i 2 ustawy, stosuje się odpowiednio przepisy § 5.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4. Oznaczeń, o których mowa w ust. 1 i 2, nie wlicza się do czasu nadawania ogłoszeń, o których mowa w art. 16 ust. 5 ustawy.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7.</w:t>
      </w:r>
      <w:r>
        <w:rPr>
          <w:rFonts w:cs="Verdana"/>
        </w:rPr>
        <w:t> Nadawca, nadając reklamy lub telesprzedaż, w programie powinien uwzględnić charakter audycji poprzedzających ich nadanie i następujących po nich.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8.</w:t>
      </w:r>
      <w:r>
        <w:rPr>
          <w:rFonts w:cs="Verdana"/>
        </w:rPr>
        <w:t> W reklamach, z wyłączeniem autopromocji, zakazane jest wykorzystywanie głosu lub wizerunku osób, które prowadziły audycje informacyjne, publicystyczne lub audycje dla dzieci w programach radiowych lub telewizyjnych w okresie krótszym niż 3 miesiące przed nadaniem reklamy.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9.</w:t>
      </w:r>
      <w:r>
        <w:rPr>
          <w:rFonts w:cs="Verdana"/>
        </w:rPr>
        <w:t> Nadawca nie może udostępnić więcej niż 35% czasu wykorzystywanego na reklamy i telesprzedaż w okresie jednego roku na reklamę i telesprzedaż produktów i usług jednego przedsiębiorcy lub ugrupowania gospodarczego.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10.</w:t>
      </w:r>
      <w:r>
        <w:rPr>
          <w:rFonts w:cs="Verdana"/>
        </w:rPr>
        <w:t> 1. Poziom głośności reklam i telesprzedaży emitowanych w trakcie audycji lub bezpośrednio po niej nie może przekroczyć poziomu głośności tej audycji.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 xml:space="preserve">2. Poziom głośności reklam i telesprzedaży emitowanych w trakcie audycji emitowanych w czasie rzeczywistym bądź z wykorzystaniem pętli opóźniającej lub bezpośrednio po tej audycji nie może przekroczyć poziomu głośności części tej audycji </w:t>
      </w:r>
      <w:r>
        <w:rPr>
          <w:rFonts w:cs="Verdana"/>
        </w:rPr>
        <w:lastRenderedPageBreak/>
        <w:t>wyemitowanej po ostatniej reklamie lub telesprzedaży o wartość większą niż 1 wyrażoną w jednostce pomiarowej głośności, o której mowa w załączniku do rozporządzenia.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11.</w:t>
      </w:r>
      <w:r>
        <w:rPr>
          <w:rFonts w:cs="Verdana"/>
        </w:rPr>
        <w:t> 1. Nadawca prowadzi ewidencję czasu nadawanych reklam i telesprzedaży.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2. Ewidencja nadanych reklam i telesprzedaży zawiera następujące dane: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nazwę produktu lub usługi;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nazwę zleceniodawcy;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datę nadawania;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  <w:t>godzinę nadawania i czas trwania reklamy i telesprzedaży;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czas trwania bloku reklamowego i telesprzedaży;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  <w:t>łączny czas trwania reklam w godzinie zegarowej;</w:t>
      </w:r>
    </w:p>
    <w:p w:rsidR="0058625F" w:rsidRDefault="0058625F" w:rsidP="0058625F">
      <w:pPr>
        <w:tabs>
          <w:tab w:val="left" w:pos="408"/>
        </w:tabs>
        <w:ind w:left="408" w:hanging="408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  <w:t>dzienną liczbę i czas wyemitowanych bloków telesprzedaży.</w:t>
      </w:r>
    </w:p>
    <w:p w:rsidR="0058625F" w:rsidRDefault="0058625F" w:rsidP="0058625F">
      <w:pPr>
        <w:ind w:firstLine="431"/>
        <w:jc w:val="both"/>
        <w:rPr>
          <w:rFonts w:cs="Verdana"/>
        </w:rPr>
      </w:pPr>
      <w:r>
        <w:rPr>
          <w:rFonts w:cs="Verdana"/>
        </w:rPr>
        <w:t>3. Nadawca przechowuje ewidencję, o której mowa w ust. 1, przez okres 1 roku od zakończenia roku kalendarzowego, w którym reklama lub telesprzedaż została nadana.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12.</w:t>
      </w:r>
      <w:r>
        <w:rPr>
          <w:rFonts w:cs="Verdana"/>
        </w:rPr>
        <w:t> Traci moc rozporządzenie Krajowej Rady Radiofonii i Telewizji z dnia 3 czerwca 2004 r. w sprawie sposobu prowadzenia działalności reklamowej i telesprzedaży w programach radiowych i telewizyjnych (Dz. U. Nr 148, poz. 1565 oraz z 2010 r. Nr 3, poz. 20).</w:t>
      </w:r>
    </w:p>
    <w:p w:rsidR="0058625F" w:rsidRDefault="0058625F" w:rsidP="0058625F">
      <w:pPr>
        <w:spacing w:before="240"/>
        <w:ind w:firstLine="431"/>
        <w:jc w:val="both"/>
        <w:rPr>
          <w:rFonts w:cs="Verdana"/>
        </w:rPr>
      </w:pPr>
      <w:r>
        <w:rPr>
          <w:rFonts w:cs="Verdana"/>
          <w:b/>
          <w:bCs/>
        </w:rPr>
        <w:t>§ 13.</w:t>
      </w:r>
      <w:r>
        <w:rPr>
          <w:rFonts w:cs="Verdana"/>
        </w:rPr>
        <w:t> Rozporządzenie wchodzi w życie po upływie 14 dni od dnia ogłoszenia.</w:t>
      </w:r>
    </w:p>
    <w:p w:rsidR="0058625F" w:rsidRDefault="0058625F" w:rsidP="0058625F">
      <w:pPr>
        <w:spacing w:before="240"/>
        <w:rPr>
          <w:rFonts w:cs="Verdana"/>
        </w:rPr>
      </w:pPr>
      <w:r>
        <w:rPr>
          <w:rFonts w:cs="Verdana"/>
          <w:b/>
          <w:bCs/>
        </w:rPr>
        <w:t>ZAŁĄCZNIK </w:t>
      </w:r>
    </w:p>
    <w:p w:rsidR="0058625F" w:rsidRDefault="0058625F" w:rsidP="0058625F">
      <w:pPr>
        <w:spacing w:before="240"/>
        <w:ind w:firstLine="426"/>
        <w:jc w:val="both"/>
        <w:rPr>
          <w:rFonts w:cs="Verdana"/>
        </w:rPr>
      </w:pPr>
      <w:r>
        <w:rPr>
          <w:rFonts w:cs="Verdana"/>
        </w:rPr>
        <w:t>W celu ujednolicenia warunków nadawania w zakresie głośności emitowanych reklam i telesprzedaży nadawcy są obowiązani do emitowania reklam i telesprzedaży w taki sposób, aby wynik pomiaru głośności przeprowadzonego z zachowaniem procedury pomiarowej i warunków technicznych opracowanych przez Krajową Radę Radiofonii i Telewizji na podstawie zaleceń ITU: ITU-R BS. 1770-3, ITU-R BS. 1771-1 oraz EBU: R 128, EBU-TECH 3341 spełniał obowiązki określone w § 10 rozporządzenia.</w:t>
      </w:r>
    </w:p>
    <w:p w:rsidR="0058625F" w:rsidRDefault="0058625F" w:rsidP="0058625F">
      <w:pPr>
        <w:spacing w:before="240"/>
        <w:ind w:left="408" w:hanging="408"/>
        <w:jc w:val="both"/>
        <w:rPr>
          <w:rFonts w:cs="Verdana"/>
        </w:rPr>
      </w:pPr>
      <w:r>
        <w:rPr>
          <w:rFonts w:cs="Verdana"/>
          <w:b/>
          <w:bCs/>
        </w:rPr>
        <w:t>1.</w:t>
      </w:r>
      <w:r>
        <w:rPr>
          <w:rFonts w:cs="Verdana"/>
          <w:b/>
          <w:bCs/>
        </w:rPr>
        <w:tab/>
        <w:t>Ilekroć w załączniku do rozporządzenia jest mowa o: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LU </w:t>
      </w:r>
      <w:r>
        <w:rPr>
          <w:rFonts w:cs="Verdana"/>
        </w:rPr>
        <w:t>(Loudness Unit) - należy przez to rozumieć jednostkę pomiarową głośności. Wskaźnik przyrządu do oceny głośności powinien być skalibrowany w jednostkach głośności LU. Jest ona jednostką skali miernika głośności. Wartość głośności wyrażona w jednostkach głośności reprezentuje tłumienie lub wzmocnienie w decybelach, jakie jest wymagane do sprowadzenia poziomu sygnału do 0 LU. Na przykład sygnał o wartości -10 LU będzie wymagał wzmocnienia o +10 dB, aby osiągnął odczyt 0 LU;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LUFS </w:t>
      </w:r>
      <w:r>
        <w:rPr>
          <w:rFonts w:cs="Verdana"/>
        </w:rPr>
        <w:t>(Loudness Unit Full Scale) - należy przez to rozumieć jednostkę głośności wyrażoną w LU w odniesieniu do pełnej skali, 0 LU = -23 LUFS;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uśrednionym poziomie głośności (I) </w:t>
      </w:r>
      <w:r>
        <w:rPr>
          <w:rFonts w:cs="Verdana"/>
        </w:rPr>
        <w:t>- należy przez to rozumieć uśredniony wynik pomiaru głośności wykonany systemem pomiarowym w odcinku czasu określonym manualnie lub w inny sposób;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4)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poziomie głośności audycji </w:t>
      </w:r>
      <w:r>
        <w:rPr>
          <w:rFonts w:cs="Verdana"/>
        </w:rPr>
        <w:t>- należy przez to rozumieć uśredniony poziom głośności (I) danej audycji, zmierzony za pomocą systemu pomiarowego w określonym czasie trwania tej audycji i wyrażony w jednostkach głośności LU z dokładnością do jednego miejsca po przecinku;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poziomie głośności audycji wyprodukowanej przed emisją </w:t>
      </w:r>
      <w:r>
        <w:rPr>
          <w:rFonts w:cs="Verdana"/>
        </w:rPr>
        <w:t>- należy przez to rozumieć poziom głośności audycji zmierzony w pełnym czasie trwania audycji, z wyłączeniem przerw, podczas których emitowane są reklamy i telesprzedaż;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6)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poziomie głośności audycji emitowanej w czasie rzeczywistym bądź z wykorzystaniem pętli opóźniającej </w:t>
      </w:r>
      <w:r>
        <w:rPr>
          <w:rFonts w:cs="Verdana"/>
        </w:rPr>
        <w:t>- należy przez to rozumieć poziom głośności audycji zmierzony w czasie pomiędzy przerwami, podczas których emitowane są reklamy i telesprzedaż;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7)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poziomie głośności reklam i telesprzedaży </w:t>
      </w:r>
      <w:r>
        <w:rPr>
          <w:rFonts w:cs="Verdana"/>
        </w:rPr>
        <w:t xml:space="preserve">- należy przez to rozumieć </w:t>
      </w:r>
      <w:r>
        <w:rPr>
          <w:rFonts w:cs="Verdana"/>
        </w:rPr>
        <w:lastRenderedPageBreak/>
        <w:t>uśredniony poziom głośności reklam i telesprzedaży zmierzony od momentu rozpoczęcia emisji oznaczenia początku emisji reklam i telesprzedaży do momentu zakończenia emisji oznaczenia końca emisji reklam i telesprzedaży, wyrażony w jednostkach głośności LU z dokładnością do jednego miejsca po przecinku;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8)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systemie pomiarowym </w:t>
      </w:r>
      <w:r>
        <w:rPr>
          <w:rFonts w:cs="Verdana"/>
        </w:rPr>
        <w:t>- należy przez to rozumieć profesjonalne urządzenie lub oprogramowanie komputerowe wraz z interfejsami fonicznymi przeznaczone do pomiaru głośności sygnału fonicznego. System pomiarowy powinien być wyskalowany w jednostkach LU i umożliwiać wskazanie wartości poziomu głośności z dokładnością do 0,1 LU oraz uśrednionego poziomu głośności (I) w odcinku czasu określanym manualnie lub w inny sposób. Prawidłowo skalibrowany system pomiarowy powinien wskazywać określone wartości poziomów głośności podczas pomiaru sygnałów testowych wymienionych w pkt 3 załącznika;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9)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urządzeniu odbiorczym </w:t>
      </w:r>
      <w:r>
        <w:rPr>
          <w:rFonts w:cs="Verdana"/>
        </w:rPr>
        <w:t>- należy przez to rozumieć urządzenie pozwalające na odbiór programów radiowych i telewizyjnych rozpowszechnianych w sposób analogowy rozsiewczy naziemny, cyfrowy rozsiewczy naziemny w multipleksie, rozsiewczy satelitarny, w sieciach telekomunikacyjnych innych niż wykorzystywane do rozpowszechniania rozsiewczego naziemnego lub rozsiewczego satelitarnego oraz programów telewizyjnych rozpowszechnianych wyłącznie w systemie teleinformatycznym wyposażone w przyłącze sygnału fonicznego, pozwalające na jego pomiar w postaci analogowej w formie sygnału dwukanałowego lub wielokanałowego zmiksowanego do postaci dwukanałowej. W przypadku urządzenia do odbioru programu rozpowszechnianego w sposób cyfrowy rozsiewczy naziemny w multipleksie spełnia ono wymagania określone w rozporządzeniu Ministra Infrastruktury z dnia 18 grudnia 2009 r. w sprawie wymagań technicznych i eksploatacyjnych dla urządzeń konsumenckich służących do odbioru cyfrowych naziemnych transmisji telewizyjnych (Dz. U. Nr 221, poz. 1742);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10)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EBU </w:t>
      </w:r>
      <w:r>
        <w:rPr>
          <w:rFonts w:cs="Verdana"/>
        </w:rPr>
        <w:t>(European Broadcasting Union) - należy przez to rozumieć Europejską Unię Nadawców;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11)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ITU </w:t>
      </w:r>
      <w:r>
        <w:rPr>
          <w:rFonts w:cs="Verdana"/>
        </w:rPr>
        <w:t>(International Telecommunication Union) - należy przez to rozumieć Międzynarodowy Związek Telekomunikacyjny;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12)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dBFS </w:t>
      </w:r>
      <w:r>
        <w:rPr>
          <w:rFonts w:cs="Verdana"/>
        </w:rPr>
        <w:t>(dB Full Scale) - należy przez to rozumieć jednostkę pomiarową poziomu szczytowego cyfrowego sygnału fonicznego. Wskaźnik przyrządu do pomiaru wartości szczytowej sygnałów cyfrowych powinien być wyskalowany w dB, a wartość 0 dBFS powinna oznaczać maksymalny poziom szczytowy sygnału;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13)</w:t>
      </w:r>
      <w:r>
        <w:rPr>
          <w:rFonts w:cs="Verdana"/>
        </w:rPr>
        <w:tab/>
      </w:r>
      <w:r>
        <w:rPr>
          <w:rFonts w:cs="Verdana"/>
          <w:b/>
          <w:bCs/>
        </w:rPr>
        <w:t xml:space="preserve">LPCM </w:t>
      </w:r>
      <w:r>
        <w:rPr>
          <w:rFonts w:cs="Verdana"/>
        </w:rPr>
        <w:t>(Linear Pulse Code Modulation) - należy przez to rozumieć metodę kodowania sygnału fonicznego w postaci cyfrowej.</w:t>
      </w:r>
    </w:p>
    <w:p w:rsidR="0058625F" w:rsidRDefault="0058625F" w:rsidP="0058625F">
      <w:pPr>
        <w:ind w:left="408" w:hanging="408"/>
        <w:jc w:val="both"/>
        <w:rPr>
          <w:rFonts w:cs="Verdana"/>
        </w:rPr>
      </w:pPr>
      <w:r>
        <w:rPr>
          <w:rFonts w:cs="Verdana"/>
          <w:b/>
          <w:bCs/>
        </w:rPr>
        <w:t>2.</w:t>
      </w:r>
      <w:r>
        <w:rPr>
          <w:rFonts w:cs="Verdana"/>
          <w:b/>
          <w:bCs/>
        </w:rPr>
        <w:tab/>
        <w:t>Procedura pomiarowa</w:t>
      </w:r>
    </w:p>
    <w:p w:rsidR="0058625F" w:rsidRDefault="0058625F" w:rsidP="0058625F">
      <w:pPr>
        <w:ind w:left="426"/>
        <w:jc w:val="both"/>
        <w:rPr>
          <w:rFonts w:cs="Verdana"/>
        </w:rPr>
      </w:pPr>
      <w:r>
        <w:rPr>
          <w:rFonts w:cs="Verdana"/>
        </w:rPr>
        <w:t>Nadawca w celu realizacji obowiązków, o których mowa w § 10 rozporządzenia, ma obowiązek stosować następującą procedurę pomiarową: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1)</w:t>
      </w:r>
      <w:r>
        <w:rPr>
          <w:rFonts w:cs="Verdana"/>
        </w:rPr>
        <w:tab/>
        <w:t>pomiaru głośności reklam i telesprzedaży oraz audycji dokonuje się za pomocą systemu pomiarowego podłączonego do przyłącza dwukanałowego analogowego sygnału fonicznego urządzenia odbiorczego;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2)</w:t>
      </w:r>
      <w:r>
        <w:rPr>
          <w:rFonts w:cs="Verdana"/>
        </w:rPr>
        <w:tab/>
        <w:t>urządzenie odbiorcze powinno być skonfigurowane tak, aby na wyjściowym przyłączu, o którym mowa w ppkt 1, uzyskać sygnał dwukanałowy odpowiadający treści audycji, reklam i telesprzedaży;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3)</w:t>
      </w:r>
      <w:r>
        <w:rPr>
          <w:rFonts w:cs="Verdana"/>
        </w:rPr>
        <w:tab/>
        <w:t>sygnał analogowy na wyjściu kanału fonicznego urządzenia odbiorczego może być poddany jedynie liniowej regulacji wzmocnienia i konwersji do postaci cyfrowej w formacie liniowym, minimum 16-bitowym LPCM z próbkowaniem 48 kHz tak, aby miernik cyfrowy o skali dBFS, o ile to możliwe, wskazywał wartość zbliżoną do -23 dBFS dla sygnału wypowiedzi słownej. Tak skalibrowane urządzenie odbiorcze i przetwornik analogowo-cyfrowy mogą być wykorzystane do rejestracji audycji w postaci plikowej (format liniowy *.wav). W celu odróżnienia reklam i telesprzedaży od audycji, rejestracji sygnału pochodzącego z kanału fonicznego może towarzyszyć rejestracja sygnału z kanału wizyjnego;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lastRenderedPageBreak/>
        <w:t>4)</w:t>
      </w:r>
      <w:r>
        <w:rPr>
          <w:rFonts w:cs="Verdana"/>
        </w:rPr>
        <w:tab/>
        <w:t>w celu weryfikacji wypełniania obowiązków określonych w § 10 rozporządzenia, za pomocą systemu pomiarowego dokonuje się pomiaru poziomu głośności odpowiednich fragmentów reklam i telesprzedaży oraz audycji utrwalonej w postaci pliku;</w:t>
      </w:r>
    </w:p>
    <w:p w:rsidR="0058625F" w:rsidRDefault="0058625F" w:rsidP="0058625F">
      <w:pPr>
        <w:tabs>
          <w:tab w:val="left" w:pos="851"/>
        </w:tabs>
        <w:ind w:left="851" w:hanging="425"/>
        <w:jc w:val="both"/>
        <w:rPr>
          <w:rFonts w:cs="Verdana"/>
        </w:rPr>
      </w:pPr>
      <w:r>
        <w:rPr>
          <w:rFonts w:cs="Verdana"/>
        </w:rPr>
        <w:t>5)</w:t>
      </w:r>
      <w:r>
        <w:rPr>
          <w:rFonts w:cs="Verdana"/>
        </w:rPr>
        <w:tab/>
        <w:t>zmierzone poziomy głośności audycji wyprodukowanej przed emisją i audycji emitowanej w czasie rzeczywistym bądź z wykorzystaniem pętli opóźniającej oraz poziom głośności reklam i telesprzedaży porównuje się.</w:t>
      </w:r>
    </w:p>
    <w:p w:rsidR="0058625F" w:rsidRDefault="0058625F" w:rsidP="0058625F">
      <w:pPr>
        <w:ind w:left="408" w:hanging="408"/>
        <w:jc w:val="both"/>
        <w:rPr>
          <w:rFonts w:cs="Verdana"/>
        </w:rPr>
      </w:pPr>
      <w:r>
        <w:rPr>
          <w:rFonts w:cs="Verdana"/>
          <w:b/>
          <w:bCs/>
        </w:rPr>
        <w:t>3.</w:t>
      </w:r>
      <w:r>
        <w:rPr>
          <w:rFonts w:cs="Verdana"/>
          <w:b/>
          <w:bCs/>
        </w:rPr>
        <w:tab/>
        <w:t>Sygnały testowe do kalibracji systemu pomiarowego</w:t>
      </w:r>
    </w:p>
    <w:p w:rsidR="0058625F" w:rsidRDefault="0058625F" w:rsidP="0058625F">
      <w:pPr>
        <w:ind w:left="426"/>
        <w:jc w:val="both"/>
        <w:rPr>
          <w:rFonts w:cs="Verdana"/>
        </w:rPr>
      </w:pPr>
      <w:r>
        <w:rPr>
          <w:rFonts w:cs="Verdana"/>
        </w:rPr>
        <w:t>Nadawca obowiązany jest emitować sygnał zgodny z opisanymi w poniższej tabeli sygnałami testowymi, przeznaczonymi do kalibracji systemu pomiarowego wraz z oczekiwaną wartością uśrednionego poziomu głośności (I) w jednostkach LU i LUFS.</w:t>
      </w:r>
    </w:p>
    <w:p w:rsidR="0058625F" w:rsidRDefault="0058625F" w:rsidP="0058625F">
      <w:pPr>
        <w:jc w:val="both"/>
        <w:rPr>
          <w:rFonts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6331"/>
        <w:gridCol w:w="2726"/>
      </w:tblGrid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Lp.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Sygnał testowy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16"/>
                <w:szCs w:val="16"/>
              </w:rPr>
              <w:t>Oczekiwany wynik oraz akceptowane tolerancje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-23,0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-33,0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-33,0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-10,0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Sygnały 1 kHz, stereo, -36,0 dBFS (poziom szczytowy każdego z kanałów, sygnał w tej samej fazie jednocześnie w obu kanałach), czas trwania 10 s; -23,0 dBFS, czas trwania 60 s; -36,0 dBFS, czas trwania 10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Sygnały 1 kHz, stereo, -75,0 dBFS (poziom szczytowy każdego z kanałów, sygnał w tej samej fazie jednocześnie w obu kanałach), czas trwania 10 s; -36,0 dBFS, czas trwania 10 s; -23,0 dBFS, czas trwania 60 s; -36,0 dBFS, czas trwania 10 s; - 75,0 dBFS, czas trwania 10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</w:t>
            </w:r>
            <w:r>
              <w:rPr>
                <w:rFonts w:cs="Verdana"/>
                <w:sz w:val="16"/>
                <w:szCs w:val="16"/>
              </w:rPr>
              <w:t>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Sygnały 1 kHz, stereo, -26,0 dBFS (poziom szczytowy każdego z kanałów, sygnał w tej samej fazie jednocześnie w obu kanałach), czas trwania 20 s; -20,0 dBFS, czas trwania 20 s; -26,0 dBFS,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-20,0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-26,0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-26,0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-3,0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  <w:tr w:rsidR="0058625F" w:rsidTr="0058625F"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</w:t>
            </w:r>
          </w:p>
          <w:p w:rsidR="0058625F" w:rsidRDefault="0058625F">
            <w:pPr>
              <w:spacing w:line="276" w:lineRule="auto"/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Sygnał 1 kHz, stereo, -40,0 dBFS (poziom szczytowy każdego z kanałów, sygnał w tej samej fazie jednocześnie w obu kanałach), czas trwania 20 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 xml:space="preserve">I = -40,0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LUFS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I = -17,0 ±0,1 </w:t>
            </w:r>
            <w:r>
              <w:rPr>
                <w:rFonts w:cs="Verdana"/>
                <w:b/>
                <w:bCs/>
                <w:sz w:val="16"/>
                <w:szCs w:val="16"/>
              </w:rPr>
              <w:t>LU</w:t>
            </w:r>
          </w:p>
          <w:p w:rsidR="0058625F" w:rsidRDefault="0058625F">
            <w:pPr>
              <w:spacing w:line="276" w:lineRule="auto"/>
              <w:rPr>
                <w:rFonts w:cs="Verdana"/>
                <w:sz w:val="16"/>
                <w:szCs w:val="16"/>
              </w:rPr>
            </w:pPr>
          </w:p>
        </w:tc>
      </w:tr>
    </w:tbl>
    <w:p w:rsidR="0058625F" w:rsidRDefault="0058625F" w:rsidP="0058625F">
      <w:pPr>
        <w:rPr>
          <w:sz w:val="24"/>
          <w:szCs w:val="24"/>
        </w:rPr>
      </w:pPr>
    </w:p>
    <w:p w:rsidR="00B3799E" w:rsidRDefault="00B3799E"/>
    <w:sectPr w:rsidR="00B379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30" w:rsidRDefault="007A2730" w:rsidP="0058625F">
      <w:r>
        <w:separator/>
      </w:r>
    </w:p>
  </w:endnote>
  <w:endnote w:type="continuationSeparator" w:id="0">
    <w:p w:rsidR="007A2730" w:rsidRDefault="007A2730" w:rsidP="0058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484839"/>
      <w:docPartObj>
        <w:docPartGallery w:val="Page Numbers (Bottom of Page)"/>
        <w:docPartUnique/>
      </w:docPartObj>
    </w:sdtPr>
    <w:sdtEndPr/>
    <w:sdtContent>
      <w:p w:rsidR="0058625F" w:rsidRDefault="005862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1F6">
          <w:rPr>
            <w:noProof/>
          </w:rPr>
          <w:t>2</w:t>
        </w:r>
        <w:r>
          <w:fldChar w:fldCharType="end"/>
        </w:r>
      </w:p>
    </w:sdtContent>
  </w:sdt>
  <w:p w:rsidR="0058625F" w:rsidRDefault="00586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30" w:rsidRDefault="007A2730" w:rsidP="0058625F">
      <w:r>
        <w:separator/>
      </w:r>
    </w:p>
  </w:footnote>
  <w:footnote w:type="continuationSeparator" w:id="0">
    <w:p w:rsidR="007A2730" w:rsidRDefault="007A2730" w:rsidP="0058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5F"/>
    <w:rsid w:val="005571F6"/>
    <w:rsid w:val="0058625F"/>
    <w:rsid w:val="007A2730"/>
    <w:rsid w:val="00855497"/>
    <w:rsid w:val="00B3799E"/>
    <w:rsid w:val="00C7759C"/>
    <w:rsid w:val="00D04651"/>
    <w:rsid w:val="00F3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5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25F"/>
    <w:rPr>
      <w:rFonts w:ascii="Verdana" w:eastAsiaTheme="minorEastAsia" w:hAnsi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25F"/>
    <w:rPr>
      <w:rFonts w:ascii="Verdana" w:eastAsiaTheme="minorEastAsia" w:hAnsi="Verdan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5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25F"/>
    <w:rPr>
      <w:rFonts w:ascii="Verdana" w:eastAsiaTheme="minorEastAsia" w:hAnsi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25F"/>
    <w:rPr>
      <w:rFonts w:ascii="Verdana" w:eastAsiaTheme="minorEastAsia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2282</Words>
  <Characters>13692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Wojciechowska Izabela</cp:lastModifiedBy>
  <cp:revision>2</cp:revision>
  <dcterms:created xsi:type="dcterms:W3CDTF">2014-02-17T11:34:00Z</dcterms:created>
  <dcterms:modified xsi:type="dcterms:W3CDTF">2014-02-17T11:34:00Z</dcterms:modified>
</cp:coreProperties>
</file>