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9.png" ContentType="image/png"/>
  <Override PartName="/word/media/image8.jpeg" ContentType="image/jpeg"/>
  <Override PartName="/word/media/image7.jpeg" ContentType="image/jpe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ytu"/>
        <w:spacing w:before="0" w:after="120"/>
        <w:rPr/>
      </w:pPr>
      <w:r>
        <w:rPr/>
      </w:r>
    </w:p>
    <w:p>
      <w:pPr>
        <w:pStyle w:val="Tytu"/>
        <w:spacing w:before="0" w:after="120"/>
        <w:rPr/>
      </w:pPr>
      <w:r>
        <w:rPr/>
        <w:t>Zacznij Kodować już dziś! Europejski Tydzień Kodowania w Polsce</w:t>
      </w:r>
    </w:p>
    <w:p>
      <w:pPr>
        <w:pStyle w:val="Tretekstu"/>
        <w:spacing w:before="240" w:after="360"/>
        <w:rPr>
          <w:rFonts w:cs="Open Sans Light" w:ascii="Open Sans Bold" w:hAnsi="Open Sans Bold"/>
          <w:i/>
          <w:iCs/>
        </w:rPr>
      </w:pPr>
      <w:r>
        <w:rPr>
          <w:rFonts w:cs="Open Sans Light" w:ascii="Open Sans Bold" w:hAnsi="Open Sans Bold"/>
          <w:i/>
          <w:iCs/>
        </w:rPr>
        <w:t>Zachęcamy do organizacji własnych wydarzeń w ramach Europejskiego</w:t>
        <w:br/>
        <w:t>Tygodnia Kodowania. Organizatorem wydarzenia może być każdy, kto chce włączyć się w promowanie nauki programowania.</w:t>
      </w:r>
    </w:p>
    <w:p>
      <w:pPr>
        <w:pStyle w:val="Nagwek1"/>
        <w:rPr/>
      </w:pPr>
      <w:r>
        <w:rPr/>
        <w:t>Czym jest Europejski Tydzień Kodowania?</w:t>
      </w:r>
    </w:p>
    <w:p>
      <w:pPr>
        <w:pStyle w:val="Normal"/>
        <w:rPr/>
      </w:pPr>
      <w:r>
        <w:rPr/>
        <w:t xml:space="preserve">Europejski Tydzień Kodowania zainicjowali 3 lata temu Młodzi Doradcy ds. Agendy Cyfrowej przy Komisarz Neelie Kroes. </w:t>
      </w:r>
      <w:r>
        <w:rPr/>
        <w:t xml:space="preserve">Celem inicjatywy </w:t>
      </w:r>
      <w:r>
        <w:rPr/>
        <w:t>jest popularyzacja nauki kodowania wśród dzieci, młodzieży i dorosłych. Umiejętność programowania jest niezwykle ważna dla przyszłości rynku pracy, ale równocześnie pozwala na rozwój kreatywności i wzmocnienie takich kompetencji jak myślenie algorytmiczne i praca grupowa.</w:t>
      </w:r>
    </w:p>
    <w:p>
      <w:pPr>
        <w:pStyle w:val="Nagwek1"/>
        <w:rPr/>
      </w:pPr>
      <w:r>
        <w:rPr/>
        <w:t>Wydarzenia w ramach Europejskiego Tygodnia Kodowania</w:t>
      </w:r>
    </w:p>
    <w:p>
      <w:pPr>
        <w:pStyle w:val="Normal"/>
        <w:rPr/>
      </w:pPr>
      <w:r>
        <w:rPr/>
        <w:t xml:space="preserve">W trakcie Code Weeka w całej Europie odbędą się tysiące bezpłatnych warsztatów, szkoleń, dyskusji, pokazów. Ich uczestnikiem może być każdy, każdy może też zorganizować swoje wydarzenie. W ubiegłym roku w Polsce odbyło się ich ponad 300. Mamy nadzieję, że w tym roku będzie ich jeszcze więcej! Wszystkim inicjatywom w ramach ETK patronuje Komisja Europejska zapewniająca wsparcie komunikacyjne, dlatego jest to wyjątkowa okazja, żeby pokazać się całej Europie! </w:t>
      </w:r>
    </w:p>
    <w:p>
      <w:pPr>
        <w:pStyle w:val="Nagwek1"/>
        <w:rPr/>
      </w:pPr>
      <w:r>
        <w:rPr/>
        <w:t>Kto może zorganizować wydarzenie?</w:t>
      </w:r>
    </w:p>
    <w:p>
      <w:pPr>
        <w:pStyle w:val="Normal"/>
        <w:rPr/>
      </w:pPr>
      <w:r>
        <w:rPr/>
        <w:t>Do organizacji wydarzeń zapraszamy organizacje, instytucje oraz osoby dysponujące wiedzą i doświadczeniem z zakresu programowania. Wydarzenie może mieć formę warsztatu, szkolenia, seminarium, webinarium, pokazu lub jeszcze inną – liczymy na Waszą kreatywność i inicjatywę. Może być przeznaczone dla dzieci, młodzieży, dorosłych czy seniorów – wybór odbiorców należy do Was.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Zapraszamy też organizacje, instytucje i osoby, które nie mają wiedzy i doświadczenia w kodowaniu, ale bliski jest im cel Europejskiego Tygodnia Kodowania. Przygotowaliśmy dla Was kilka podpowiedzi, jak można przygotować wydarzenie – w  materiałach na naszej stronie codeweek.org.pl znajdziecie scenariusze zajęć, które możecie przeprowadzić. Zachęcamy też do angażowania innych osób – rozejrzyjcie się dookoła, może w Waszym otoczeniu jest ktoś, kto mógłby poprowadzić własne działania?</w:t>
      </w:r>
    </w:p>
    <w:p>
      <w:pPr>
        <w:pStyle w:val="Normal"/>
        <w:rPr/>
      </w:pPr>
      <w:r>
        <w:rPr/>
        <w:t>Dla organizatorów wydarzeń przygotowaliśmy także pakiet materiałów graficznych – plakaty, certyfikaty i szablony prezentacji. Zachęcamy do korzystania z nich!</w:t>
      </w:r>
    </w:p>
    <w:p>
      <w:pPr>
        <w:pStyle w:val="Nagwek1"/>
        <w:rPr/>
      </w:pPr>
      <w:r>
        <w:rPr/>
        <w:t>Konkursy</w:t>
      </w:r>
    </w:p>
    <w:p>
      <w:pPr>
        <w:pStyle w:val="Normal"/>
        <w:rPr/>
      </w:pPr>
      <w:r>
        <w:rPr/>
        <w:t>Dla organizatorów wydarzeń w Polsce przygotowywany jest konkurs z atrakcyjnymi nagrodami. Szczegóły już wkrótce na stronie internetowej codeweek.org.pl.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Możecie wziąć też udział w konkursach europejskich:</w:t>
      </w:r>
    </w:p>
    <w:p>
      <w:pPr>
        <w:pStyle w:val="ListParagraph"/>
        <w:numPr>
          <w:ilvl w:val="0"/>
          <w:numId w:val="1"/>
        </w:numPr>
        <w:rPr>
          <w:rStyle w:val="Czeinternetowe"/>
        </w:rPr>
      </w:pPr>
      <w:r>
        <w:rPr/>
        <w:t>„</w:t>
      </w:r>
      <w:r>
        <w:rPr/>
        <w:t xml:space="preserve">Oda do kodu” – konkurs na wideo pokazujące wpływ dźwięków „Ody do kodu” na otoczenie. W konkursie mogą wziąć udział wszyscy organizatorzy wydarzeń. Konkurs kończy się </w:t>
      </w:r>
      <w:bookmarkStart w:id="0" w:name="_GoBack"/>
      <w:bookmarkEnd w:id="0"/>
      <w:r>
        <w:rPr/>
        <w:t xml:space="preserve">4 października. Szczegóły znajdziecie na stronie </w:t>
      </w:r>
      <w:hyperlink r:id="rId2">
        <w:r>
          <w:rPr>
            <w:rStyle w:val="Czeinternetowe"/>
          </w:rPr>
          <w:t>http://blog.codeweek.eu/post/127716018215/ode-to-code-video-contest</w:t>
        </w:r>
      </w:hyperlink>
      <w:r>
        <w:rPr>
          <w:rStyle w:val="Czeinternetowe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rStyle w:val="Czeinternetowe"/>
          <w:color w:val="FF3300"/>
          <w:spacing w:val="-6"/>
        </w:rPr>
      </w:pPr>
      <w:r>
        <w:rPr/>
        <w:t xml:space="preserve">konkurs „CodeWeek4all challenge” – konkurs, którego celem jest wzmocnienie </w:t>
      </w:r>
      <w:r>
        <w:rPr>
          <w:spacing w:val="-4"/>
        </w:rPr>
        <w:t xml:space="preserve">przenikania kodowania do pracy z uczniami. Konkurs adresowany do szkół. Szczegóły: </w:t>
      </w:r>
      <w:hyperlink r:id="rId3">
        <w:r>
          <w:rPr>
            <w:rStyle w:val="Czeinternetowe"/>
            <w:color w:val="FF3300"/>
            <w:spacing w:val="-6"/>
          </w:rPr>
          <w:t>http://blog.codeweek.e</w:t>
        </w:r>
        <w:r>
          <w:rPr>
            <w:rStyle w:val="Czeinternetowe"/>
            <w:spacing w:val="-6"/>
          </w:rPr>
          <w:t>u/post/1284</w:t>
        </w:r>
        <w:r>
          <w:rPr>
            <w:rStyle w:val="Czeinternetowe"/>
            <w:color w:val="FF3300"/>
            <w:spacing w:val="-6"/>
          </w:rPr>
          <w:t>07482510/launching-the-codeweek4all-challenge-by</w:t>
        </w:r>
      </w:hyperlink>
    </w:p>
    <w:p>
      <w:pPr>
        <w:pStyle w:val="Nagwek1"/>
        <w:rPr/>
      </w:pPr>
      <w:r>
        <w:rPr/>
        <w:t>Jak zgłosić wydarzenie?</w:t>
      </w:r>
    </w:p>
    <w:p>
      <w:pPr>
        <w:pStyle w:val="Normal"/>
        <w:rPr/>
      </w:pPr>
      <w:r>
        <w:rPr/>
        <w:t xml:space="preserve">Wystarczy wejść na stronę internetową </w:t>
      </w:r>
      <w:hyperlink r:id="rId4">
        <w:r>
          <w:rPr>
            <w:rStyle w:val="Czeinternetowe"/>
          </w:rPr>
          <w:t>codeweek.org.pl</w:t>
        </w:r>
      </w:hyperlink>
      <w:r>
        <w:rPr>
          <w:color w:val="FF3300"/>
        </w:rPr>
        <w:t xml:space="preserve"> </w:t>
      </w:r>
      <w:r>
        <w:rPr/>
        <w:t>i wypełnić formularz zgłoszeniowy. W formularzu należy umieścić podstawowe informacje na temat wydarzenia – kto jest organizatorem, gdzie i kiedy się odbędzie, umieścić krótki opis. Wydarzenie pokaże się na mapie i będzie dostępne dla uczestników i uczestniczek.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Chcesz, żeby o Twoim wydarzeniu było głośno? Napisz do nas na </w:t>
      </w:r>
      <w:hyperlink r:id="rId5">
        <w:r>
          <w:rPr>
            <w:rStyle w:val="Czeinternetowe"/>
          </w:rPr>
          <w:t>codeweek@mdrn.pl</w:t>
        </w:r>
      </w:hyperlink>
      <w:r>
        <w:rPr/>
        <w:t xml:space="preserve"> – umieścimy informację w aktualnościach na naszej stronie codeweek.org.pl, powiemy o nim w naszych kanałach social media – </w:t>
      </w:r>
      <w:hyperlink r:id="rId6">
        <w:r>
          <w:rPr>
            <w:rStyle w:val="Czeinternetowe"/>
          </w:rPr>
          <w:t>facebook.com/CodeWeekPL</w:t>
        </w:r>
      </w:hyperlink>
      <w:r>
        <w:rPr/>
        <w:t xml:space="preserve"> oraz </w:t>
      </w:r>
      <w:hyperlink r:id="rId7">
        <w:r>
          <w:rPr>
            <w:rStyle w:val="Czeinternetowe"/>
          </w:rPr>
          <w:t>twitter.com/CodeWeekPL</w:t>
        </w:r>
      </w:hyperlink>
      <w:r>
        <w:rPr/>
        <w:t>.</w:t>
      </w:r>
    </w:p>
    <w:p>
      <w:pPr>
        <w:pStyle w:val="Nagwek1"/>
        <w:rPr/>
      </w:pPr>
      <w:r>
        <w:rPr/>
        <w:t>Organizatorzy Tygodnia Kodowania w Polsce</w:t>
      </w:r>
    </w:p>
    <w:p>
      <w:pPr>
        <w:pStyle w:val="Normal"/>
        <w:rPr/>
      </w:pPr>
      <w:r>
        <w:rPr/>
        <w:t>W Polsce organizatorem Tygodnia Kodowania w ramach projektu „Code Week Polska 2015” jest Fundacja Nowoczesna Polska, natomiast głównym partnerem jest program „Mistrzowie Kodowania”. Działania dofinansowuje Ministerstwo Administracji i Cyfryzacji. Partnerami są także: Szerokie Porozumienie na Rzecz Umiejętności Cyfrowych, Stowarzyszenie Talent, Fundacja Media 3.0 oraz Polski Związek Głuchych – Oddział Łódzki.</w:t>
      </w:r>
    </w:p>
    <w:p>
      <w:pPr>
        <w:pStyle w:val="Normal"/>
        <w:rPr/>
      </w:pPr>
      <w:r>
        <w:rPr/>
        <w:t>Ambasadorami Tygodnia Kodowania w Polsce są Blanka Fijołek oraz Kamil Sijko.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Więcej informacji znajdziecie na naszej stronie codeweek.org.pl oraz w naszych kanałach: </w:t>
      </w:r>
      <w:hyperlink r:id="rId8">
        <w:r>
          <w:rPr>
            <w:rStyle w:val="Czeinternetowe"/>
          </w:rPr>
          <w:t>facebook.com/CodeWeekPL</w:t>
        </w:r>
      </w:hyperlink>
      <w:r>
        <w:rPr/>
        <w:t xml:space="preserve"> oraz </w:t>
      </w:r>
      <w:hyperlink r:id="rId9">
        <w:r>
          <w:rPr>
            <w:rStyle w:val="Czeinternetowe"/>
          </w:rPr>
          <w:t>twitter.com/CodeWeekPL</w:t>
        </w:r>
      </w:hyperlink>
      <w:r>
        <w:rPr/>
        <w:t xml:space="preserve">. Polecamy także oficjalne kanały europejskie: </w:t>
      </w:r>
      <w:hyperlink r:id="rId10">
        <w:r>
          <w:rPr>
            <w:rStyle w:val="Czeinternetowe"/>
          </w:rPr>
          <w:t>codeweek.eu</w:t>
        </w:r>
      </w:hyperlink>
      <w:r>
        <w:rPr/>
        <w:t xml:space="preserve">, </w:t>
      </w:r>
      <w:hyperlink r:id="rId11">
        <w:r>
          <w:rPr>
            <w:rStyle w:val="Czeinternetowe"/>
          </w:rPr>
          <w:t>facebook.com/CodeEU</w:t>
        </w:r>
      </w:hyperlink>
      <w:r>
        <w:rPr/>
        <w:t xml:space="preserve"> oraz </w:t>
      </w:r>
      <w:hyperlink r:id="rId12">
        <w:r>
          <w:rPr>
            <w:rStyle w:val="Czeinternetowe"/>
          </w:rPr>
          <w:t>twitter.com/codeweekeu</w:t>
        </w:r>
      </w:hyperlink>
      <w:r>
        <w:rPr/>
        <w:t>.</w:t>
      </w:r>
    </w:p>
    <w:sectPr>
      <w:headerReference w:type="default" r:id="rId13"/>
      <w:footerReference w:type="default" r:id="rId14"/>
      <w:type w:val="nextPage"/>
      <w:pgSz w:w="11906" w:h="16838"/>
      <w:pgMar w:left="1134" w:right="1134" w:header="454" w:top="511" w:footer="454" w:bottom="51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 Sans Light">
    <w:charset w:val="01"/>
    <w:family w:val="roman"/>
    <w:pitch w:val="variable"/>
  </w:font>
  <w:font w:name="Open Sans Bol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45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2321"/>
      <w:gridCol w:w="1172"/>
      <w:gridCol w:w="529"/>
      <w:gridCol w:w="2266"/>
      <w:gridCol w:w="416"/>
      <w:gridCol w:w="1143"/>
      <w:gridCol w:w="2126"/>
    </w:tblGrid>
    <w:tr>
      <w:trPr>
        <w:cantSplit w:val="false"/>
      </w:trPr>
      <w:tc>
        <w:tcPr>
          <w:tcW w:w="3493" w:type="dxa"/>
          <w:gridSpan w:val="2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Stopka"/>
            <w:spacing w:before="120" w:after="0"/>
            <w:jc w:val="center"/>
            <w:rPr>
              <w:rFonts w:cs="Open Sans Light" w:ascii="Open Sans Bold" w:hAnsi="Open Sans Bold"/>
              <w:sz w:val="18"/>
              <w:szCs w:val="20"/>
            </w:rPr>
          </w:pPr>
          <w:r>
            <w:rPr>
              <w:rFonts w:cs="Open Sans Light" w:ascii="Open Sans Bold" w:hAnsi="Open Sans Bold"/>
              <w:sz w:val="18"/>
              <w:szCs w:val="20"/>
            </w:rPr>
            <w:t>ORGANIZATOR</w:t>
          </w:r>
        </w:p>
      </w:tc>
      <w:tc>
        <w:tcPr>
          <w:tcW w:w="3211" w:type="dxa"/>
          <w:gridSpan w:val="3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Stopka"/>
            <w:spacing w:before="120" w:after="0"/>
            <w:jc w:val="center"/>
            <w:rPr>
              <w:rFonts w:cs="Open Sans Light" w:ascii="Open Sans Bold" w:hAnsi="Open Sans Bold"/>
              <w:sz w:val="18"/>
              <w:szCs w:val="20"/>
            </w:rPr>
          </w:pPr>
          <w:r>
            <w:rPr>
              <w:rFonts w:cs="Open Sans Light" w:ascii="Open Sans Bold" w:hAnsi="Open Sans Bold"/>
              <w:sz w:val="18"/>
              <w:szCs w:val="20"/>
            </w:rPr>
            <w:t>GŁÓWNY PARTNER</w:t>
          </w:r>
        </w:p>
      </w:tc>
      <w:tc>
        <w:tcPr>
          <w:tcW w:w="3269" w:type="dxa"/>
          <w:gridSpan w:val="2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Stopka"/>
            <w:tabs>
              <w:tab w:val="center" w:pos="4762" w:leader="none"/>
              <w:tab w:val="center" w:pos="4819" w:leader="none"/>
              <w:tab w:val="right" w:pos="9581" w:leader="none"/>
              <w:tab w:val="right" w:pos="9638" w:leader="none"/>
            </w:tabs>
            <w:spacing w:before="120" w:after="0"/>
            <w:ind w:left="-57" w:right="0" w:hanging="0"/>
            <w:jc w:val="center"/>
            <w:rPr>
              <w:rFonts w:cs="Open Sans Light" w:ascii="Open Sans Bold" w:hAnsi="Open Sans Bold"/>
              <w:sz w:val="18"/>
              <w:szCs w:val="20"/>
            </w:rPr>
          </w:pPr>
          <w:r>
            <w:rPr>
              <w:rFonts w:cs="Open Sans Light" w:ascii="Open Sans Bold" w:hAnsi="Open Sans Bold"/>
              <w:sz w:val="18"/>
              <w:szCs w:val="20"/>
            </w:rPr>
            <w:t>DOFINANSOWANO ZE ŚRODKÓW</w:t>
          </w:r>
        </w:p>
      </w:tc>
    </w:tr>
    <w:tr>
      <w:trPr>
        <w:trHeight w:val="1111" w:hRule="atLeast"/>
        <w:cantSplit w:val="false"/>
      </w:trPr>
      <w:tc>
        <w:tcPr>
          <w:tcW w:w="3493" w:type="dxa"/>
          <w:gridSpan w:val="2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Zawartotabeli"/>
            <w:spacing w:before="60" w:after="60"/>
            <w:jc w:val="center"/>
            <w:rPr/>
          </w:pPr>
          <w:r>
            <w:rPr/>
            <w:drawing>
              <wp:inline distT="0" distB="0" distL="0" distR="0">
                <wp:extent cx="1533525" cy="532130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gridSpan w:val="3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Zawartotabeli"/>
            <w:spacing w:before="60" w:after="60"/>
            <w:jc w:val="center"/>
            <w:rPr/>
          </w:pPr>
          <w:r>
            <w:rPr/>
            <w:drawing>
              <wp:inline distT="0" distB="0" distL="0" distR="0">
                <wp:extent cx="1285240" cy="532130"/>
                <wp:effectExtent l="0" t="0" r="0" b="0"/>
                <wp:docPr id="2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9" w:type="dxa"/>
          <w:gridSpan w:val="2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Zawartotabeli"/>
            <w:spacing w:before="60" w:after="60"/>
            <w:jc w:val="center"/>
            <w:rPr/>
          </w:pPr>
          <w:r>
            <w:rPr/>
            <w:drawing>
              <wp:inline distT="0" distB="0" distL="0" distR="0">
                <wp:extent cx="1227455" cy="532130"/>
                <wp:effectExtent l="0" t="0" r="0" b="0"/>
                <wp:docPr id="3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rPr>
        <w:cantSplit w:val="false"/>
      </w:trPr>
      <w:tc>
        <w:tcPr>
          <w:tcW w:w="9973" w:type="dxa"/>
          <w:gridSpan w:val="7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Stopka"/>
            <w:tabs>
              <w:tab w:val="center" w:pos="4819" w:leader="none"/>
              <w:tab w:val="right" w:pos="9638" w:leader="none"/>
            </w:tabs>
            <w:jc w:val="center"/>
            <w:rPr>
              <w:rFonts w:cs="Open Sans Light" w:ascii="Open Sans Bold" w:hAnsi="Open Sans Bold"/>
              <w:sz w:val="18"/>
              <w:szCs w:val="20"/>
            </w:rPr>
          </w:pPr>
          <w:r>
            <w:rPr>
              <w:rFonts w:cs="Open Sans Light" w:ascii="Open Sans Bold" w:hAnsi="Open Sans Bold"/>
              <w:sz w:val="18"/>
              <w:szCs w:val="20"/>
            </w:rPr>
            <w:t>PARTNERZY</w:t>
          </w:r>
        </w:p>
      </w:tc>
    </w:tr>
    <w:tr>
      <w:trPr>
        <w:cantSplit w:val="false"/>
      </w:trPr>
      <w:tc>
        <w:tcPr>
          <w:tcW w:w="232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Zawartotabeli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1250950" cy="323850"/>
                <wp:effectExtent l="0" t="0" r="0" b="0"/>
                <wp:docPr id="4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7357" t="14666" r="7579" b="185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gridSpan w:val="2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>
          <w:pPr>
            <w:pStyle w:val="Zawartotabeli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813435" cy="323850"/>
                <wp:effectExtent l="0" t="0" r="0" b="0"/>
                <wp:docPr id="5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>
          <w:pPr>
            <w:pStyle w:val="Zawartotabeli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1087120" cy="323850"/>
                <wp:effectExtent l="0" t="0" r="0" b="0"/>
                <wp:docPr id="6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gridSpan w:val="2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>
          <w:pPr>
            <w:pStyle w:val="Zawartotabeli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608330" cy="323850"/>
                <wp:effectExtent l="0" t="0" r="0" b="0"/>
                <wp:docPr id="7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3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>
          <w:pPr>
            <w:pStyle w:val="Zawartotabeli"/>
            <w:spacing w:before="60" w:after="0"/>
            <w:jc w:val="center"/>
            <w:rPr/>
          </w:pPr>
          <w:r>
            <w:rPr/>
            <w:drawing>
              <wp:inline distT="0" distB="0" distL="0" distR="0">
                <wp:extent cx="1285240" cy="323850"/>
                <wp:effectExtent l="0" t="0" r="0" b="0"/>
                <wp:docPr id="8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l="6971" t="27479" r="6170" b="278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spacing w:before="120" w:after="360"/>
      <w:jc w:val="center"/>
      <w:rPr/>
    </w:pPr>
    <w:r>
      <w:rPr/>
      <w:drawing>
        <wp:inline distT="0" distB="0" distL="0" distR="0">
          <wp:extent cx="3238500" cy="962025"/>
          <wp:effectExtent l="0" t="0" r="0" b="0"/>
          <wp:docPr id="0" name="Picture" descr="Z:\Clients\Samsung\CSV\MISTRZOWIE KODOWANIA\Project Managment\EVENTY_2015\CODE WEEK\materiały graficzne\logo\codeweek-claim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Z:\Clients\Samsung\CSV\MISTRZOWIE KODOWANIA\Project Managment\EVENTY_2015\CODE WEEK\materiały graficzne\logo\codeweek-claim_oran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6745" r="0" b="20542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spacing w:lineRule="auto" w:line="288"/>
      <w:jc w:val="left"/>
      <w:textAlignment w:val="baseline"/>
    </w:pPr>
    <w:rPr>
      <w:rFonts w:ascii="Open Sans Light" w:hAnsi="Open Sans Light" w:eastAsia="Droid Sans Fallback" w:cs="Open Sans Light"/>
      <w:color w:val="00000A"/>
      <w:sz w:val="24"/>
      <w:szCs w:val="24"/>
      <w:lang w:val="pl-PL" w:eastAsia="zh-CN" w:bidi="hi-IN"/>
    </w:rPr>
  </w:style>
  <w:style w:type="paragraph" w:styleId="Nagwek1">
    <w:name w:val="Nagłówek 1"/>
    <w:uiPriority w:val="9"/>
    <w:qFormat/>
    <w:link w:val="Nagwek1Znak"/>
    <w:rsid w:val="001a1bb1"/>
    <w:basedOn w:val="Tretekstu"/>
    <w:pPr>
      <w:spacing w:before="360" w:after="120"/>
      <w:outlineLvl w:val="0"/>
    </w:pPr>
    <w:rPr>
      <w:rFonts w:ascii="Open Sans Bold" w:hAnsi="Open Sans Bold" w:cs="Open Sans Light"/>
      <w:bCs/>
    </w:rPr>
  </w:style>
  <w:style w:type="character" w:styleId="DefaultParagraphFont" w:default="1">
    <w:name w:val="Default Paragraph Font"/>
    <w:uiPriority w:val="1"/>
    <w:unhideWhenUsed/>
    <w:rPr/>
  </w:style>
  <w:style w:type="character" w:styleId="Czeinternetowe">
    <w:name w:val="Łącze internetowe"/>
    <w:uiPriority w:val="99"/>
    <w:unhideWhenUsed/>
    <w:rsid w:val="002a18e8"/>
    <w:rPr>
      <w:color w:val="FF3300"/>
      <w:u w:val="single"/>
      <w:lang w:val="zxx" w:eastAsia="zxx" w:bidi="zxx"/>
    </w:rPr>
  </w:style>
  <w:style w:type="character" w:styleId="TekstdymkaZnak" w:customStyle="1">
    <w:name w:val="Tekst dymka Znak"/>
    <w:uiPriority w:val="99"/>
    <w:semiHidden/>
    <w:link w:val="Tekstdymka"/>
    <w:rsid w:val="001a1bb1"/>
    <w:basedOn w:val="DefaultParagraphFont"/>
    <w:rPr>
      <w:rFonts w:ascii="Tahoma" w:hAnsi="Tahoma" w:cs="Mangal"/>
      <w:sz w:val="16"/>
      <w:szCs w:val="14"/>
    </w:rPr>
  </w:style>
  <w:style w:type="character" w:styleId="Nagwek1Znak" w:customStyle="1">
    <w:name w:val="Nagłówek 1 Znak"/>
    <w:uiPriority w:val="9"/>
    <w:link w:val="Nagwek1"/>
    <w:rsid w:val="001a1bb1"/>
    <w:basedOn w:val="DefaultParagraphFont"/>
    <w:rPr>
      <w:rFonts w:ascii="Open Sans Bold" w:hAnsi="Open Sans Bold" w:cs="Open Sans Light"/>
      <w:bCs/>
    </w:rPr>
  </w:style>
  <w:style w:type="character" w:styleId="TytuZnak" w:customStyle="1">
    <w:name w:val="Tytuł Znak"/>
    <w:uiPriority w:val="10"/>
    <w:link w:val="Tytu"/>
    <w:rsid w:val="001a1bb1"/>
    <w:basedOn w:val="DefaultParagraphFont"/>
    <w:rPr>
      <w:rFonts w:ascii="Open Sans Bold" w:hAnsi="Open Sans Bold" w:cs="Open Sans Light"/>
      <w:bCs/>
      <w:color w:val="FF3300"/>
      <w:sz w:val="28"/>
    </w:rPr>
  </w:style>
  <w:style w:type="character" w:styleId="FollowedHyperlink">
    <w:name w:val="FollowedHyperlink"/>
    <w:uiPriority w:val="99"/>
    <w:semiHidden/>
    <w:unhideWhenUsed/>
    <w:rsid w:val="008453e3"/>
    <w:basedOn w:val="DefaultParagraphFont"/>
    <w:rPr>
      <w:color w:val="FF3300"/>
      <w:u w:val="none"/>
    </w:rPr>
  </w:style>
  <w:style w:type="character" w:styleId="SubtleReference">
    <w:name w:val="Subtle Reference"/>
    <w:uiPriority w:val="31"/>
    <w:qFormat/>
    <w:rsid w:val="008453e3"/>
    <w:basedOn w:val="DefaultParagraphFont"/>
    <w:rPr>
      <w:smallCaps/>
      <w:color w:val="C0504D"/>
      <w:u w:val="single"/>
    </w:rPr>
  </w:style>
  <w:style w:type="character" w:styleId="ListLabel1">
    <w:name w:val="ListLabel 1"/>
    <w:rPr>
      <w:color w:val="FF6600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Symbol"/>
      <w:color w:val="FF6600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Nagwek" w:customStyle="1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 w:customStyle="1">
    <w:name w:val="Zawartość tabeli"/>
    <w:basedOn w:val="Normal"/>
    <w:pPr>
      <w:suppressLineNumbers/>
    </w:pPr>
    <w:rPr/>
  </w:style>
  <w:style w:type="paragraph" w:styleId="Gwka">
    <w:name w:val="Głów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uiPriority w:val="99"/>
    <w:semiHidden/>
    <w:unhideWhenUsed/>
    <w:link w:val="TekstdymkaZnak"/>
    <w:rsid w:val="001a1bb1"/>
    <w:basedOn w:val="Normal"/>
    <w:pPr/>
    <w:rPr>
      <w:rFonts w:ascii="Tahoma" w:hAnsi="Tahoma" w:cs="Mangal"/>
      <w:sz w:val="16"/>
      <w:szCs w:val="14"/>
    </w:rPr>
  </w:style>
  <w:style w:type="paragraph" w:styleId="Tytu">
    <w:name w:val="Tytuł"/>
    <w:uiPriority w:val="10"/>
    <w:qFormat/>
    <w:link w:val="TytuZnak"/>
    <w:rsid w:val="001a1bb1"/>
    <w:basedOn w:val="Nagwek1"/>
    <w:pPr>
      <w:jc w:val="center"/>
    </w:pPr>
    <w:rPr>
      <w:color w:val="FF3300"/>
      <w:sz w:val="28"/>
    </w:rPr>
  </w:style>
  <w:style w:type="paragraph" w:styleId="ListParagraph">
    <w:name w:val="List Paragraph"/>
    <w:uiPriority w:val="34"/>
    <w:qFormat/>
    <w:rsid w:val="002a18e8"/>
    <w:basedOn w:val="Normal"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log.codeweek.eu/post/127716018215/ode-to-code-video-contest" TargetMode="External"/><Relationship Id="rId3" Type="http://schemas.openxmlformats.org/officeDocument/2006/relationships/hyperlink" Target="http://blog.codeweek.eu/post/128407482510/launching-the-codeweek4all-challenge-by" TargetMode="External"/><Relationship Id="rId4" Type="http://schemas.openxmlformats.org/officeDocument/2006/relationships/hyperlink" Target="file:///C:\Users\makowieckif\Desktop\codeweek.org.pl" TargetMode="External"/><Relationship Id="rId5" Type="http://schemas.openxmlformats.org/officeDocument/2006/relationships/hyperlink" Target="mailto:codeweek@mdrn.pl" TargetMode="External"/><Relationship Id="rId6" Type="http://schemas.openxmlformats.org/officeDocument/2006/relationships/hyperlink" Target="http://facebook.com/CodeWeekPL" TargetMode="External"/><Relationship Id="rId7" Type="http://schemas.openxmlformats.org/officeDocument/2006/relationships/hyperlink" Target="file:///C:\Users\makowieckif\Desktop\twitter.com\CodeWeekPL" TargetMode="External"/><Relationship Id="rId8" Type="http://schemas.openxmlformats.org/officeDocument/2006/relationships/hyperlink" Target="http://facebook.com/CodeWeekPL" TargetMode="External"/><Relationship Id="rId9" Type="http://schemas.openxmlformats.org/officeDocument/2006/relationships/hyperlink" Target="http://twitter.com/CodeWeekPL" TargetMode="External"/><Relationship Id="rId10" Type="http://schemas.openxmlformats.org/officeDocument/2006/relationships/hyperlink" Target="file:///C:\Users\makowieckif\Desktop\codeweek.eu" TargetMode="External"/><Relationship Id="rId11" Type="http://schemas.openxmlformats.org/officeDocument/2006/relationships/hyperlink" Target="file:///C:\Users\makowieckif\Desktop\facebook.com\CodeEU" TargetMode="External"/><Relationship Id="rId12" Type="http://schemas.openxmlformats.org/officeDocument/2006/relationships/hyperlink" Target="http://twitter.com/codeweekeu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jpeg"/><Relationship Id="rId7" Type="http://schemas.openxmlformats.org/officeDocument/2006/relationships/image" Target="media/image8.jpeg"/><Relationship Id="rId8" Type="http://schemas.openxmlformats.org/officeDocument/2006/relationships/image" Target="media/image9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ABFC-1075-408A-930D-61E784C2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2015-09-04T12:10:00Z</dcterms:created>
  <dc:creator>Filip Makowiecki</dc:creator>
  <dc:language>pl-PL</dc:language>
  <cp:lastModifiedBy>Filip Makowiecki</cp:lastModifiedBy>
  <cp:lastPrinted>2015-09-10T10:07:00Z</cp:lastPrinted>
  <dcterms:modified xsi:type="dcterms:W3CDTF">2015-09-10T10:27:00Z</dcterms:modified>
  <cp:revision>8</cp:revision>
</cp:coreProperties>
</file>