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CD" w:rsidRDefault="00883BB5">
      <w:pPr>
        <w:rPr>
          <w:sz w:val="32"/>
          <w:szCs w:val="32"/>
          <w:lang w:val="pl-PL"/>
        </w:rPr>
      </w:pPr>
      <w:bookmarkStart w:id="0" w:name="_GoBack"/>
      <w:bookmarkEnd w:id="0"/>
      <w:r>
        <w:rPr>
          <w:sz w:val="32"/>
          <w:szCs w:val="32"/>
          <w:lang w:val="pl-PL"/>
        </w:rPr>
        <w:t>RADA EUROPY</w:t>
      </w:r>
      <w:r w:rsidRPr="00883BB5">
        <w:rPr>
          <w:sz w:val="32"/>
          <w:szCs w:val="32"/>
          <w:lang w:val="pl-PL"/>
        </w:rPr>
        <w:t xml:space="preserve"> </w:t>
      </w:r>
    </w:p>
    <w:p w:rsidR="00647384" w:rsidRPr="00883BB5" w:rsidRDefault="00883BB5">
      <w:pPr>
        <w:rPr>
          <w:sz w:val="22"/>
          <w:lang w:val="pl-PL"/>
        </w:rPr>
      </w:pPr>
      <w:r>
        <w:rPr>
          <w:sz w:val="22"/>
          <w:lang w:val="pl-PL"/>
        </w:rPr>
        <w:t>KOMITET MINISTRÓW</w:t>
      </w:r>
    </w:p>
    <w:p w:rsidR="00647384" w:rsidRPr="00883BB5" w:rsidRDefault="00647384">
      <w:pPr>
        <w:rPr>
          <w:lang w:val="pl-PL"/>
        </w:rPr>
      </w:pPr>
    </w:p>
    <w:p w:rsidR="006309CD" w:rsidRDefault="00883BB5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Zalecenie </w:t>
      </w:r>
      <w:r w:rsidR="00360896" w:rsidRPr="00883BB5">
        <w:rPr>
          <w:b/>
          <w:bCs/>
          <w:lang w:val="pl-PL"/>
        </w:rPr>
        <w:t>Rec(2004)16</w:t>
      </w:r>
      <w:r w:rsidR="00360896" w:rsidRPr="00883BB5">
        <w:rPr>
          <w:rStyle w:val="Odwoanieprzypisudolnego"/>
          <w:b/>
          <w:bCs/>
          <w:lang w:val="pl-PL"/>
        </w:rPr>
        <w:footnoteReference w:id="1"/>
      </w:r>
      <w:r w:rsidR="00360896" w:rsidRPr="00883BB5">
        <w:rPr>
          <w:b/>
          <w:bCs/>
          <w:lang w:val="pl-PL"/>
        </w:rPr>
        <w:t xml:space="preserve"> </w:t>
      </w:r>
    </w:p>
    <w:p w:rsidR="00883BB5" w:rsidRDefault="00883BB5">
      <w:pPr>
        <w:rPr>
          <w:b/>
          <w:bCs/>
          <w:lang w:val="pl-PL"/>
        </w:rPr>
      </w:pPr>
      <w:r>
        <w:rPr>
          <w:b/>
          <w:bCs/>
          <w:lang w:val="pl-PL"/>
        </w:rPr>
        <w:t>Komitetu Ministrów dla państw członkowskich</w:t>
      </w:r>
    </w:p>
    <w:p w:rsidR="00883BB5" w:rsidRDefault="00883BB5">
      <w:pPr>
        <w:rPr>
          <w:b/>
          <w:bCs/>
          <w:lang w:val="pl-PL"/>
        </w:rPr>
      </w:pPr>
      <w:r>
        <w:rPr>
          <w:b/>
          <w:bCs/>
          <w:lang w:val="pl-PL"/>
        </w:rPr>
        <w:t>w sprawie prawa do odpowiedzi w nowym środowisku mediów</w:t>
      </w:r>
    </w:p>
    <w:p w:rsidR="00647384" w:rsidRPr="00883BB5" w:rsidRDefault="00647384">
      <w:pPr>
        <w:rPr>
          <w:lang w:val="pl-PL"/>
        </w:rPr>
      </w:pPr>
    </w:p>
    <w:p w:rsidR="00883BB5" w:rsidRDefault="00B208ED">
      <w:pPr>
        <w:rPr>
          <w:i/>
          <w:iCs/>
          <w:lang w:val="pl-PL"/>
        </w:rPr>
      </w:pPr>
      <w:r>
        <w:rPr>
          <w:i/>
          <w:iCs/>
          <w:lang w:val="pl-PL"/>
        </w:rPr>
        <w:t>(p</w:t>
      </w:r>
      <w:r w:rsidR="00883BB5">
        <w:rPr>
          <w:i/>
          <w:iCs/>
          <w:lang w:val="pl-PL"/>
        </w:rPr>
        <w:t>rzyjęte przez Komitet Ministrów 15 grudnia 2004 r.</w:t>
      </w:r>
    </w:p>
    <w:p w:rsidR="00647384" w:rsidRPr="00883BB5" w:rsidRDefault="007C44CD" w:rsidP="00883BB5">
      <w:pPr>
        <w:rPr>
          <w:i/>
          <w:iCs/>
          <w:lang w:val="pl-PL"/>
        </w:rPr>
      </w:pPr>
      <w:r>
        <w:rPr>
          <w:i/>
          <w:iCs/>
          <w:lang w:val="pl-PL"/>
        </w:rPr>
        <w:t>podczas 909. posiedzenia z</w:t>
      </w:r>
      <w:r w:rsidR="00883BB5">
        <w:rPr>
          <w:i/>
          <w:iCs/>
          <w:lang w:val="pl-PL"/>
        </w:rPr>
        <w:t xml:space="preserve">astępców </w:t>
      </w:r>
      <w:r>
        <w:rPr>
          <w:i/>
          <w:iCs/>
          <w:lang w:val="pl-PL"/>
        </w:rPr>
        <w:t>m</w:t>
      </w:r>
      <w:r w:rsidR="00883BB5">
        <w:rPr>
          <w:i/>
          <w:iCs/>
          <w:lang w:val="pl-PL"/>
        </w:rPr>
        <w:t>inistrów</w:t>
      </w:r>
      <w:r w:rsidR="00360896" w:rsidRPr="00883BB5">
        <w:rPr>
          <w:i/>
          <w:iCs/>
          <w:lang w:val="pl-PL"/>
        </w:rPr>
        <w:t>)</w:t>
      </w:r>
    </w:p>
    <w:p w:rsidR="00647384" w:rsidRPr="00883BB5" w:rsidRDefault="00647384">
      <w:pPr>
        <w:rPr>
          <w:lang w:val="pl-PL"/>
        </w:rPr>
      </w:pPr>
    </w:p>
    <w:p w:rsidR="00647384" w:rsidRPr="00883BB5" w:rsidRDefault="00647384">
      <w:pPr>
        <w:rPr>
          <w:lang w:val="pl-PL"/>
        </w:rPr>
      </w:pPr>
    </w:p>
    <w:p w:rsid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Komitet Ministrów, zgodnie z art. 15b Statutu Rady Europy,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Zważywszy, iż celem Rady Europy jest osiągnięcie większej jedności między jej członkami w celu ochrony i promowania ideałów i zasad, które są ich wspólnym dziedzictwem;</w:t>
      </w:r>
    </w:p>
    <w:p w:rsid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</w:p>
    <w:p w:rsidR="00883BB5" w:rsidRDefault="006309CD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Powołując się na </w:t>
      </w:r>
      <w:r w:rsidR="007C44CD">
        <w:rPr>
          <w:rFonts w:cs="Arial"/>
          <w:szCs w:val="20"/>
          <w:lang w:val="pl-PL"/>
        </w:rPr>
        <w:t>swoją uchwałę</w:t>
      </w:r>
      <w:r w:rsidR="00883BB5">
        <w:rPr>
          <w:rFonts w:cs="Arial"/>
          <w:szCs w:val="20"/>
          <w:lang w:val="pl-PL"/>
        </w:rPr>
        <w:t xml:space="preserve"> </w:t>
      </w:r>
      <w:r w:rsidR="00360896" w:rsidRPr="00883BB5">
        <w:rPr>
          <w:rFonts w:cs="Arial"/>
          <w:szCs w:val="20"/>
          <w:lang w:val="pl-PL"/>
        </w:rPr>
        <w:t xml:space="preserve">(74) 26 </w:t>
      </w:r>
      <w:r w:rsidR="0005343D">
        <w:rPr>
          <w:rFonts w:cs="Arial"/>
          <w:szCs w:val="20"/>
          <w:lang w:val="pl-PL"/>
        </w:rPr>
        <w:t>w sprawie prawa do odpowiedzi i</w:t>
      </w:r>
      <w:r w:rsidR="00883BB5">
        <w:rPr>
          <w:rFonts w:cs="Arial"/>
          <w:szCs w:val="20"/>
          <w:lang w:val="pl-PL"/>
        </w:rPr>
        <w:t xml:space="preserve"> pozycj</w:t>
      </w:r>
      <w:r w:rsidR="007C44CD">
        <w:rPr>
          <w:rFonts w:cs="Arial"/>
          <w:szCs w:val="20"/>
          <w:lang w:val="pl-PL"/>
        </w:rPr>
        <w:t>i jednostki wobec prasy, której</w:t>
      </w:r>
      <w:r w:rsidR="00883BB5">
        <w:rPr>
          <w:rFonts w:cs="Arial"/>
          <w:szCs w:val="20"/>
          <w:lang w:val="pl-PL"/>
        </w:rPr>
        <w:t xml:space="preserve"> postanowienia powinny obowiązywać wszystkie media;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u w:val="single"/>
          <w:lang w:val="pl-PL"/>
        </w:rPr>
      </w:pPr>
    </w:p>
    <w:p w:rsid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Zauważ</w:t>
      </w:r>
      <w:r w:rsidR="0005343D">
        <w:rPr>
          <w:rFonts w:cs="Arial"/>
          <w:szCs w:val="20"/>
          <w:lang w:val="pl-PL"/>
        </w:rPr>
        <w:t>ając, że od czasu przyjęcia ww.</w:t>
      </w:r>
      <w:r w:rsidR="007C44CD">
        <w:rPr>
          <w:rFonts w:cs="Arial"/>
          <w:szCs w:val="20"/>
          <w:lang w:val="pl-PL"/>
        </w:rPr>
        <w:t xml:space="preserve"> uchwały</w:t>
      </w:r>
      <w:r>
        <w:rPr>
          <w:rFonts w:cs="Arial"/>
          <w:szCs w:val="20"/>
          <w:lang w:val="pl-PL"/>
        </w:rPr>
        <w:t xml:space="preserve"> byliśm</w:t>
      </w:r>
      <w:r w:rsidR="007C44CD">
        <w:rPr>
          <w:rFonts w:cs="Arial"/>
          <w:szCs w:val="20"/>
          <w:lang w:val="pl-PL"/>
        </w:rPr>
        <w:t>y świadkami powstania nowych istotnych</w:t>
      </w:r>
      <w:r>
        <w:rPr>
          <w:rFonts w:cs="Arial"/>
          <w:szCs w:val="20"/>
          <w:lang w:val="pl-PL"/>
        </w:rPr>
        <w:t xml:space="preserve"> rozwiązań technologicznych, które powodują konieczność zmiany </w:t>
      </w:r>
      <w:r w:rsidR="0005343D">
        <w:rPr>
          <w:rFonts w:cs="Arial"/>
          <w:szCs w:val="20"/>
          <w:lang w:val="pl-PL"/>
        </w:rPr>
        <w:t>jej</w:t>
      </w:r>
      <w:r>
        <w:rPr>
          <w:rFonts w:cs="Arial"/>
          <w:szCs w:val="20"/>
          <w:lang w:val="pl-PL"/>
        </w:rPr>
        <w:t xml:space="preserve"> tekstu w celu dostosowania go do aktualnej sytuacji </w:t>
      </w:r>
      <w:r w:rsidR="007E0555">
        <w:rPr>
          <w:rFonts w:cs="Arial"/>
          <w:szCs w:val="20"/>
          <w:lang w:val="pl-PL"/>
        </w:rPr>
        <w:t>sektora mediów w Europie;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Przywołując ponadto</w:t>
      </w:r>
      <w:r w:rsidR="006309CD">
        <w:rPr>
          <w:rFonts w:cs="Arial"/>
          <w:szCs w:val="20"/>
          <w:lang w:val="pl-PL"/>
        </w:rPr>
        <w:t xml:space="preserve"> fakt</w:t>
      </w:r>
      <w:r>
        <w:rPr>
          <w:rFonts w:cs="Arial"/>
          <w:szCs w:val="20"/>
          <w:lang w:val="pl-PL"/>
        </w:rPr>
        <w:t>, że Europejska Konwencja o Telewizji Ponadgranicznej (ETS nr 132) odnosi się nie tylko do prawa do odpowiedzi</w:t>
      </w:r>
      <w:r w:rsidR="007C44CD">
        <w:rPr>
          <w:rFonts w:cs="Arial"/>
          <w:szCs w:val="20"/>
          <w:lang w:val="pl-PL"/>
        </w:rPr>
        <w:t>,</w:t>
      </w:r>
      <w:r>
        <w:rPr>
          <w:rFonts w:cs="Arial"/>
          <w:szCs w:val="20"/>
          <w:lang w:val="pl-PL"/>
        </w:rPr>
        <w:t xml:space="preserve"> ale również do innych </w:t>
      </w:r>
      <w:r w:rsidR="007C44CD">
        <w:rPr>
          <w:rFonts w:cs="Arial"/>
          <w:szCs w:val="20"/>
          <w:lang w:val="pl-PL"/>
        </w:rPr>
        <w:t>podobnych</w:t>
      </w:r>
      <w:r>
        <w:rPr>
          <w:rFonts w:cs="Arial"/>
          <w:szCs w:val="20"/>
          <w:lang w:val="pl-PL"/>
        </w:rPr>
        <w:t xml:space="preserve"> środków prawnych i administracyjnych;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Potwierdzając ponownie, że prawo do odpowiedzi powinno chronić każdą osobę prawną </w:t>
      </w:r>
      <w:r w:rsidR="0005343D">
        <w:rPr>
          <w:rFonts w:cs="Arial"/>
          <w:szCs w:val="20"/>
          <w:lang w:val="pl-PL"/>
        </w:rPr>
        <w:t>i</w:t>
      </w:r>
      <w:r>
        <w:rPr>
          <w:rFonts w:cs="Arial"/>
          <w:szCs w:val="20"/>
          <w:lang w:val="pl-PL"/>
        </w:rPr>
        <w:t xml:space="preserve"> fizyczną przed informacjami zawierającymi niedokładne fakty dotyczące takiej osoby oraz wpływającymi na jej prawa i uwzględniając tym samym, że rozpowszechnianie opinii i idei musi pozostać poza zakresem tego zalecenia;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u w:val="single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Biorąc pod uwagę, </w:t>
      </w:r>
      <w:r w:rsidR="006309CD">
        <w:rPr>
          <w:rFonts w:cs="Arial"/>
          <w:szCs w:val="20"/>
          <w:lang w:val="pl-PL"/>
        </w:rPr>
        <w:t>ż</w:t>
      </w:r>
      <w:r>
        <w:rPr>
          <w:rFonts w:cs="Arial"/>
          <w:szCs w:val="20"/>
          <w:lang w:val="pl-PL"/>
        </w:rPr>
        <w:t>e prawo do odpowiedzi stanowi szczególnie właściwy środek w środowisku online ze wzglę</w:t>
      </w:r>
      <w:r w:rsidR="004523CC">
        <w:rPr>
          <w:rFonts w:cs="Arial"/>
          <w:szCs w:val="20"/>
          <w:lang w:val="pl-PL"/>
        </w:rPr>
        <w:t xml:space="preserve">du na możliwość natychmiastowego sprostowania </w:t>
      </w:r>
      <w:r>
        <w:rPr>
          <w:rFonts w:cs="Arial"/>
          <w:szCs w:val="20"/>
          <w:lang w:val="pl-PL"/>
        </w:rPr>
        <w:t>kwestionowanych informacji oraz techniczną łatwość, z jaką można dołączyć do nich odpowiedzi osób zainteresowanych;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Uwzględniając także fakt, że w interesie opinii publicznej jest otrzymywanie informacji z różnych źródeł, co gwarantuje </w:t>
      </w:r>
      <w:r w:rsidR="00211087">
        <w:rPr>
          <w:rFonts w:cs="Arial"/>
          <w:szCs w:val="20"/>
          <w:lang w:val="pl-PL"/>
        </w:rPr>
        <w:t>dostęp do</w:t>
      </w:r>
      <w:r>
        <w:rPr>
          <w:rFonts w:cs="Arial"/>
          <w:szCs w:val="20"/>
          <w:lang w:val="pl-PL"/>
        </w:rPr>
        <w:t xml:space="preserve"> pełnych informacji;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pStyle w:val="Tekstpodstawowy"/>
        <w:tabs>
          <w:tab w:val="left" w:pos="709"/>
        </w:tabs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Przyjmując do wiadomości, że prawo do odpowiedzi może być zapewniane nie tylko w ramach działań legislacyjnych</w:t>
      </w:r>
      <w:r w:rsidR="007C44CD"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0"/>
          <w:szCs w:val="20"/>
          <w:lang w:val="pl-PL"/>
        </w:rPr>
        <w:t xml:space="preserve"> ale również za pomocą środków współregulacyjnych i samoregulacyjnych;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bCs/>
          <w:iCs/>
          <w:szCs w:val="20"/>
          <w:lang w:val="pl-PL"/>
        </w:rPr>
      </w:pPr>
      <w:r>
        <w:rPr>
          <w:rFonts w:cs="Arial"/>
          <w:bCs/>
          <w:iCs/>
          <w:szCs w:val="20"/>
          <w:lang w:val="pl-PL"/>
        </w:rPr>
        <w:t>Podkreślając, że prawo do odpowiedzi pozostaje bez uszczerbku dla innych środków dostępnych osobom, których prawo do godności, dobre imię, reputacja lub prywatność zostały naruszone przez media,</w:t>
      </w:r>
    </w:p>
    <w:p w:rsidR="00647384" w:rsidRPr="00883BB5" w:rsidRDefault="00647384">
      <w:pPr>
        <w:tabs>
          <w:tab w:val="left" w:pos="709"/>
        </w:tabs>
        <w:rPr>
          <w:rFonts w:cs="Arial"/>
          <w:i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Zaleca, aby rządy państw członkowskich zbadały i, w niezbę</w:t>
      </w:r>
      <w:r w:rsidR="0005343D">
        <w:rPr>
          <w:rFonts w:cs="Arial"/>
          <w:szCs w:val="20"/>
          <w:lang w:val="pl-PL"/>
        </w:rPr>
        <w:t>dnych przypadkach, wprowadziły do swoich przepisów krajowych lub praktyki</w:t>
      </w:r>
      <w:r>
        <w:rPr>
          <w:rFonts w:cs="Arial"/>
          <w:szCs w:val="20"/>
          <w:lang w:val="pl-PL"/>
        </w:rPr>
        <w:t xml:space="preserve"> prawo do odpowiedzi </w:t>
      </w:r>
      <w:r w:rsidR="00FA53A6">
        <w:rPr>
          <w:rFonts w:cs="Arial"/>
          <w:szCs w:val="20"/>
          <w:lang w:val="pl-PL"/>
        </w:rPr>
        <w:t xml:space="preserve">lub </w:t>
      </w:r>
      <w:r w:rsidR="006309CD">
        <w:rPr>
          <w:rFonts w:cs="Arial"/>
          <w:szCs w:val="20"/>
          <w:lang w:val="pl-PL"/>
        </w:rPr>
        <w:t>inne</w:t>
      </w:r>
      <w:r>
        <w:rPr>
          <w:rFonts w:cs="Arial"/>
          <w:szCs w:val="20"/>
          <w:lang w:val="pl-PL"/>
        </w:rPr>
        <w:t xml:space="preserve"> </w:t>
      </w:r>
      <w:r w:rsidR="006309CD">
        <w:rPr>
          <w:rFonts w:cs="Arial"/>
          <w:szCs w:val="20"/>
          <w:lang w:val="pl-PL"/>
        </w:rPr>
        <w:t>równorzędne środki pozwalające</w:t>
      </w:r>
      <w:r w:rsidR="00FA53A6">
        <w:rPr>
          <w:rFonts w:cs="Arial"/>
          <w:szCs w:val="20"/>
          <w:lang w:val="pl-PL"/>
        </w:rPr>
        <w:t xml:space="preserve"> na szybkie </w:t>
      </w:r>
      <w:r w:rsidR="004523CC">
        <w:rPr>
          <w:rFonts w:cs="Arial"/>
          <w:szCs w:val="20"/>
          <w:lang w:val="pl-PL"/>
        </w:rPr>
        <w:t>sprostowanie</w:t>
      </w:r>
      <w:r w:rsidR="00FA53A6">
        <w:rPr>
          <w:rFonts w:cs="Arial"/>
          <w:szCs w:val="20"/>
          <w:lang w:val="pl-PL"/>
        </w:rPr>
        <w:t xml:space="preserve"> nieprawidłowych informacji w mediach </w:t>
      </w:r>
      <w:r w:rsidR="007C44CD">
        <w:rPr>
          <w:rFonts w:cs="Arial"/>
          <w:szCs w:val="20"/>
          <w:lang w:val="pl-PL"/>
        </w:rPr>
        <w:t xml:space="preserve">dostępnych </w:t>
      </w:r>
      <w:r w:rsidR="00FA53A6">
        <w:rPr>
          <w:rFonts w:cs="Arial"/>
          <w:szCs w:val="20"/>
          <w:lang w:val="pl-PL"/>
        </w:rPr>
        <w:t xml:space="preserve">w sieci lub poza nią zgodnie z </w:t>
      </w:r>
      <w:r w:rsidR="00B208ED">
        <w:rPr>
          <w:rFonts w:cs="Arial"/>
          <w:szCs w:val="20"/>
          <w:lang w:val="pl-PL"/>
        </w:rPr>
        <w:t>poniższymi</w:t>
      </w:r>
      <w:r w:rsidR="00FA53A6">
        <w:rPr>
          <w:rFonts w:cs="Arial"/>
          <w:szCs w:val="20"/>
          <w:lang w:val="pl-PL"/>
        </w:rPr>
        <w:t xml:space="preserve"> zasadami, które stanowią wymogi minimalne, bez uszczerbku dla możliwości </w:t>
      </w:r>
      <w:r w:rsidR="006309CD">
        <w:rPr>
          <w:rFonts w:cs="Arial"/>
          <w:szCs w:val="20"/>
          <w:lang w:val="pl-PL"/>
        </w:rPr>
        <w:t>wprowadzania korekt do</w:t>
      </w:r>
      <w:r w:rsidR="00FA53A6">
        <w:rPr>
          <w:rFonts w:cs="Arial"/>
          <w:szCs w:val="20"/>
          <w:lang w:val="pl-PL"/>
        </w:rPr>
        <w:t xml:space="preserve"> ich egzekwowania biorąc pod uwagę szczególny charakter każdego rodzaju mediów.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br w:type="page"/>
      </w:r>
    </w:p>
    <w:p w:rsidR="00647384" w:rsidRPr="00883BB5" w:rsidRDefault="00FA53A6">
      <w:pPr>
        <w:tabs>
          <w:tab w:val="left" w:pos="709"/>
        </w:tabs>
        <w:rPr>
          <w:rFonts w:cs="Arial"/>
          <w:b/>
          <w:szCs w:val="20"/>
          <w:lang w:val="pl-PL"/>
        </w:rPr>
      </w:pPr>
      <w:r>
        <w:rPr>
          <w:rFonts w:cs="Arial"/>
          <w:b/>
          <w:szCs w:val="20"/>
          <w:lang w:val="pl-PL"/>
        </w:rPr>
        <w:lastRenderedPageBreak/>
        <w:t>Definicja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Dla celów tego zalecenia: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7C44CD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Określenie „medium</w:t>
      </w:r>
      <w:r w:rsidR="00FA53A6">
        <w:rPr>
          <w:rFonts w:cs="Arial"/>
          <w:szCs w:val="20"/>
          <w:lang w:val="pl-PL"/>
        </w:rPr>
        <w:t xml:space="preserve">” dotyczy wszelkich środków komunikacji służących do regularnego przekazywania opinii publicznej edytowanych informacji, zarówno w sieciach informatycznych jak i poza nimi, takich jak gazety, czasopisma, radio, telewizja i internetowe </w:t>
      </w:r>
      <w:r w:rsidR="0005343D">
        <w:rPr>
          <w:rFonts w:cs="Arial"/>
          <w:szCs w:val="20"/>
          <w:lang w:val="pl-PL"/>
        </w:rPr>
        <w:t>serwisy</w:t>
      </w:r>
      <w:r w:rsidR="00FA53A6">
        <w:rPr>
          <w:rFonts w:cs="Arial"/>
          <w:szCs w:val="20"/>
          <w:lang w:val="pl-PL"/>
        </w:rPr>
        <w:t xml:space="preserve"> informacyjne.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FA53A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>
        <w:rPr>
          <w:rFonts w:cs="Arial"/>
          <w:b/>
          <w:bCs/>
          <w:szCs w:val="20"/>
          <w:lang w:val="pl-PL"/>
        </w:rPr>
        <w:t>Zasady minimalne</w:t>
      </w:r>
    </w:p>
    <w:p w:rsidR="00647384" w:rsidRPr="00883BB5" w:rsidRDefault="00647384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1.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Zakres prawa do odpowiedzi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Każda osoba fizyczna lub prawna, niezależnie od narodowości czy miejsca zamieszkania, powinna </w:t>
      </w:r>
      <w:r w:rsidR="0005343D">
        <w:rPr>
          <w:rFonts w:cs="Arial"/>
          <w:szCs w:val="20"/>
          <w:lang w:val="pl-PL"/>
        </w:rPr>
        <w:t>uzyskać</w:t>
      </w:r>
      <w:r>
        <w:rPr>
          <w:rFonts w:cs="Arial"/>
          <w:szCs w:val="20"/>
          <w:lang w:val="pl-PL"/>
        </w:rPr>
        <w:t xml:space="preserve"> prawo do odpowiedzi lub uzyskania równorzędnego środka dającego możliwość zareagowania na informacje w mediach prezentujące niedokładne fakty na temat takiej osoby, które </w:t>
      </w:r>
      <w:r w:rsidR="00B208ED">
        <w:rPr>
          <w:rFonts w:cs="Arial"/>
          <w:szCs w:val="20"/>
          <w:lang w:val="pl-PL"/>
        </w:rPr>
        <w:t>mają wpływ</w:t>
      </w:r>
      <w:r>
        <w:rPr>
          <w:rFonts w:cs="Arial"/>
          <w:szCs w:val="20"/>
          <w:lang w:val="pl-PL"/>
        </w:rPr>
        <w:t xml:space="preserve"> na jej osobiste prawa.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2.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Szybkość odpowiedzi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u w:val="single"/>
          <w:lang w:val="pl-PL"/>
        </w:rPr>
      </w:pPr>
    </w:p>
    <w:p w:rsidR="00FA53A6" w:rsidRDefault="007C44CD">
      <w:pPr>
        <w:pStyle w:val="Tekstpodstawowy"/>
        <w:tabs>
          <w:tab w:val="left" w:pos="709"/>
        </w:tabs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Wezwanie do opublikowania</w:t>
      </w:r>
      <w:r w:rsidR="00AD425B">
        <w:rPr>
          <w:rFonts w:ascii="Arial" w:hAnsi="Arial" w:cs="Arial"/>
          <w:sz w:val="20"/>
          <w:szCs w:val="20"/>
          <w:lang w:val="pl-PL"/>
        </w:rPr>
        <w:t xml:space="preserve"> odpowiedzi powinno być skierowane</w:t>
      </w:r>
      <w:r w:rsidR="00FA53A6">
        <w:rPr>
          <w:rFonts w:ascii="Arial" w:hAnsi="Arial" w:cs="Arial"/>
          <w:sz w:val="20"/>
          <w:szCs w:val="20"/>
          <w:lang w:val="pl-PL"/>
        </w:rPr>
        <w:t xml:space="preserve"> do medium w rozsądnie krótkim czasie od momentu publikacji kwestionowanej informacji. </w:t>
      </w:r>
      <w:r w:rsidR="006309CD">
        <w:rPr>
          <w:rFonts w:ascii="Arial" w:hAnsi="Arial" w:cs="Arial"/>
          <w:sz w:val="20"/>
          <w:szCs w:val="20"/>
          <w:lang w:val="pl-PL"/>
        </w:rPr>
        <w:t>M</w:t>
      </w:r>
      <w:r w:rsidR="00FA53A6">
        <w:rPr>
          <w:rFonts w:ascii="Arial" w:hAnsi="Arial" w:cs="Arial"/>
          <w:sz w:val="20"/>
          <w:szCs w:val="20"/>
          <w:lang w:val="pl-PL"/>
        </w:rPr>
        <w:t xml:space="preserve">edium </w:t>
      </w:r>
      <w:r>
        <w:rPr>
          <w:rFonts w:ascii="Arial" w:hAnsi="Arial" w:cs="Arial"/>
          <w:sz w:val="20"/>
          <w:szCs w:val="20"/>
          <w:lang w:val="pl-PL"/>
        </w:rPr>
        <w:t>otrzymujące takie wezwanie</w:t>
      </w:r>
      <w:r w:rsidR="006309CD">
        <w:rPr>
          <w:rFonts w:ascii="Arial" w:hAnsi="Arial" w:cs="Arial"/>
          <w:sz w:val="20"/>
          <w:szCs w:val="20"/>
          <w:lang w:val="pl-PL"/>
        </w:rPr>
        <w:t xml:space="preserve"> </w:t>
      </w:r>
      <w:r w:rsidR="00FA53A6">
        <w:rPr>
          <w:rFonts w:ascii="Arial" w:hAnsi="Arial" w:cs="Arial"/>
          <w:sz w:val="20"/>
          <w:szCs w:val="20"/>
          <w:lang w:val="pl-PL"/>
        </w:rPr>
        <w:t xml:space="preserve">powinno </w:t>
      </w:r>
      <w:r w:rsidR="00B208ED">
        <w:rPr>
          <w:rFonts w:ascii="Arial" w:hAnsi="Arial" w:cs="Arial"/>
          <w:sz w:val="20"/>
          <w:szCs w:val="20"/>
          <w:lang w:val="pl-PL"/>
        </w:rPr>
        <w:t>opublikować</w:t>
      </w:r>
      <w:r w:rsidR="00FA53A6">
        <w:rPr>
          <w:rFonts w:ascii="Arial" w:hAnsi="Arial" w:cs="Arial"/>
          <w:sz w:val="20"/>
          <w:szCs w:val="20"/>
          <w:lang w:val="pl-PL"/>
        </w:rPr>
        <w:t xml:space="preserve"> odpowiedź bezzwłocznie.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3.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Widoczność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Odpowiedzi należy zapewnić w miarę możliwości taką samą widoczność jak kwestionowanej informacji, aby mogła dotrzeć do tej samej grupy odbiorców i mieć identyczne oddziaływanie.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4.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Bezpłatna publikacja</w:t>
      </w:r>
      <w:r w:rsidRPr="00883BB5">
        <w:rPr>
          <w:rFonts w:cs="Arial"/>
          <w:b/>
          <w:bCs/>
          <w:szCs w:val="20"/>
          <w:lang w:val="pl-PL"/>
        </w:rPr>
        <w:t xml:space="preserve"> 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Odpowiedź należy publikować bezpłatnie.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5.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Wyjątki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404D51" w:rsidRDefault="00404D51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W wyjątkowych sytuacja</w:t>
      </w:r>
      <w:r w:rsidR="0005343D">
        <w:rPr>
          <w:rFonts w:cs="Arial"/>
          <w:szCs w:val="20"/>
          <w:lang w:val="pl-PL"/>
        </w:rPr>
        <w:t>ch przepisy lub praktyka krajowa</w:t>
      </w:r>
      <w:r>
        <w:rPr>
          <w:rFonts w:cs="Arial"/>
          <w:szCs w:val="20"/>
          <w:lang w:val="pl-PL"/>
        </w:rPr>
        <w:t xml:space="preserve"> mogą przewidywać prawo do odmowy opublikowania odpowiedzi przez medium</w:t>
      </w:r>
      <w:r w:rsidR="006309CD">
        <w:rPr>
          <w:rFonts w:cs="Arial"/>
          <w:szCs w:val="20"/>
          <w:lang w:val="pl-PL"/>
        </w:rPr>
        <w:t>. Dotyczy to następujących przypadków</w:t>
      </w:r>
      <w:r>
        <w:rPr>
          <w:rFonts w:cs="Arial"/>
          <w:szCs w:val="20"/>
          <w:lang w:val="pl-PL"/>
        </w:rPr>
        <w:t>: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404D51" w:rsidRDefault="00360896">
      <w:pPr>
        <w:pStyle w:val="Tekstpodstawowy"/>
        <w:tabs>
          <w:tab w:val="left" w:pos="709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883BB5">
        <w:rPr>
          <w:rFonts w:ascii="Arial" w:hAnsi="Arial" w:cs="Arial"/>
          <w:sz w:val="20"/>
          <w:szCs w:val="20"/>
          <w:lang w:val="pl-PL"/>
        </w:rPr>
        <w:t>–</w:t>
      </w:r>
      <w:r w:rsidRPr="00883BB5">
        <w:rPr>
          <w:rFonts w:ascii="Arial" w:hAnsi="Arial" w:cs="Arial"/>
          <w:sz w:val="20"/>
          <w:szCs w:val="20"/>
          <w:lang w:val="pl-PL"/>
        </w:rPr>
        <w:tab/>
      </w:r>
      <w:r w:rsidR="00404D51">
        <w:rPr>
          <w:rFonts w:ascii="Arial" w:hAnsi="Arial" w:cs="Arial"/>
          <w:sz w:val="20"/>
          <w:szCs w:val="20"/>
          <w:lang w:val="pl-PL"/>
        </w:rPr>
        <w:t>jeśli odpowiedź jest dłuższa</w:t>
      </w:r>
      <w:r w:rsidR="006309CD">
        <w:rPr>
          <w:rFonts w:ascii="Arial" w:hAnsi="Arial" w:cs="Arial"/>
          <w:sz w:val="20"/>
          <w:szCs w:val="20"/>
          <w:lang w:val="pl-PL"/>
        </w:rPr>
        <w:t>,</w:t>
      </w:r>
      <w:r w:rsidR="00404D51">
        <w:rPr>
          <w:rFonts w:ascii="Arial" w:hAnsi="Arial" w:cs="Arial"/>
          <w:sz w:val="20"/>
          <w:szCs w:val="20"/>
          <w:lang w:val="pl-PL"/>
        </w:rPr>
        <w:t xml:space="preserve"> niż jest to konieczne do </w:t>
      </w:r>
      <w:r w:rsidR="00AD425B">
        <w:rPr>
          <w:rFonts w:ascii="Arial" w:hAnsi="Arial" w:cs="Arial"/>
          <w:sz w:val="20"/>
          <w:szCs w:val="20"/>
          <w:lang w:val="pl-PL"/>
        </w:rPr>
        <w:t>sprostowania</w:t>
      </w:r>
      <w:r w:rsidR="00404D51">
        <w:rPr>
          <w:rFonts w:ascii="Arial" w:hAnsi="Arial" w:cs="Arial"/>
          <w:sz w:val="20"/>
          <w:szCs w:val="20"/>
          <w:lang w:val="pl-PL"/>
        </w:rPr>
        <w:t xml:space="preserve"> kwestionowanej informacji;</w:t>
      </w:r>
    </w:p>
    <w:p w:rsidR="00404D51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 xml:space="preserve">jeśli odpowiedź nie jest ograniczona do </w:t>
      </w:r>
      <w:r w:rsidR="00AD425B">
        <w:rPr>
          <w:rFonts w:cs="Arial"/>
          <w:szCs w:val="20"/>
          <w:lang w:val="pl-PL"/>
        </w:rPr>
        <w:t xml:space="preserve">sprostowania </w:t>
      </w:r>
      <w:r w:rsidR="00404D51">
        <w:rPr>
          <w:rFonts w:cs="Arial"/>
          <w:szCs w:val="20"/>
          <w:lang w:val="pl-PL"/>
        </w:rPr>
        <w:t>kwestionowanych faktów;</w:t>
      </w:r>
    </w:p>
    <w:p w:rsidR="00404D51" w:rsidRDefault="00360896" w:rsidP="00404D51">
      <w:pPr>
        <w:tabs>
          <w:tab w:val="left" w:pos="709"/>
        </w:tabs>
        <w:ind w:left="705" w:hanging="705"/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>jeśli publikacja odpowiedzi stanowiłaby czyn karalny, spowodowałaby odpowiedzialność cywilną dostawcy treści lub naruszałaby obowiązujące standardy lub dobry obyczaj;</w:t>
      </w:r>
    </w:p>
    <w:p w:rsidR="00404D51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>jeśli odpowiedź zostaje uznana za sprzeczną z prawnie chronionymi interesami osoby trzeciej;</w:t>
      </w:r>
    </w:p>
    <w:p w:rsidR="00404D51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 xml:space="preserve">jeśli osoba </w:t>
      </w:r>
      <w:r w:rsidR="0020412C">
        <w:rPr>
          <w:rFonts w:cs="Arial"/>
          <w:szCs w:val="20"/>
          <w:lang w:val="pl-PL"/>
        </w:rPr>
        <w:t>przekazująca odpowiedź nie jest w stanie wykazać istnienia uzasadnionego interesu;</w:t>
      </w:r>
    </w:p>
    <w:p w:rsidR="0020412C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20412C">
        <w:rPr>
          <w:rFonts w:cs="Arial"/>
          <w:szCs w:val="20"/>
          <w:lang w:val="pl-PL"/>
        </w:rPr>
        <w:t>jeśli odpowiedź jest sformułowana w języku innym niż język kwestionowanej informacji;</w:t>
      </w:r>
    </w:p>
    <w:p w:rsidR="0020412C" w:rsidRDefault="00360896" w:rsidP="0020412C">
      <w:pPr>
        <w:tabs>
          <w:tab w:val="left" w:pos="709"/>
        </w:tabs>
        <w:ind w:left="705" w:hanging="705"/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20412C">
        <w:rPr>
          <w:rFonts w:cs="Arial"/>
          <w:szCs w:val="20"/>
          <w:lang w:val="pl-PL"/>
        </w:rPr>
        <w:t>jeśli kwestionowana informacja stanowi część zgodnego z prawdą sprawozdania z publicznych obrad organów publicznych lub posiedzeń sądów.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20412C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6.</w:t>
      </w:r>
      <w:r w:rsidRPr="00883BB5">
        <w:rPr>
          <w:rFonts w:cs="Arial"/>
          <w:b/>
          <w:bCs/>
          <w:szCs w:val="20"/>
          <w:lang w:val="pl-PL"/>
        </w:rPr>
        <w:tab/>
      </w:r>
      <w:r w:rsidR="0005343D">
        <w:rPr>
          <w:rFonts w:cs="Arial"/>
          <w:b/>
          <w:bCs/>
          <w:szCs w:val="20"/>
          <w:lang w:val="pl-PL"/>
        </w:rPr>
        <w:t>Zapewnienie</w:t>
      </w:r>
      <w:r w:rsidR="0020412C">
        <w:rPr>
          <w:rFonts w:cs="Arial"/>
          <w:b/>
          <w:bCs/>
          <w:szCs w:val="20"/>
          <w:lang w:val="pl-PL"/>
        </w:rPr>
        <w:t xml:space="preserve"> skutecznego egzekwowania prawa do odpowiedzi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Aby </w:t>
      </w:r>
      <w:r w:rsidR="00AD425B">
        <w:rPr>
          <w:rFonts w:cs="Arial"/>
          <w:szCs w:val="20"/>
          <w:lang w:val="pl-PL"/>
        </w:rPr>
        <w:t>zapewnić</w:t>
      </w:r>
      <w:r>
        <w:rPr>
          <w:rFonts w:cs="Arial"/>
          <w:szCs w:val="20"/>
          <w:lang w:val="pl-PL"/>
        </w:rPr>
        <w:t xml:space="preserve"> skuteczne egzekwowanie prawa do odpowiedzi, media</w:t>
      </w:r>
      <w:r w:rsidR="0005343D">
        <w:rPr>
          <w:rFonts w:cs="Arial"/>
          <w:szCs w:val="20"/>
          <w:lang w:val="pl-PL"/>
        </w:rPr>
        <w:t xml:space="preserve"> </w:t>
      </w:r>
      <w:r w:rsidR="00B208ED">
        <w:rPr>
          <w:rFonts w:cs="Arial"/>
          <w:szCs w:val="20"/>
          <w:lang w:val="pl-PL"/>
        </w:rPr>
        <w:t xml:space="preserve">powinny </w:t>
      </w:r>
      <w:r w:rsidR="0005343D">
        <w:rPr>
          <w:rFonts w:cs="Arial"/>
          <w:szCs w:val="20"/>
          <w:lang w:val="pl-PL"/>
        </w:rPr>
        <w:t>udostępnić</w:t>
      </w:r>
      <w:r>
        <w:rPr>
          <w:rFonts w:cs="Arial"/>
          <w:szCs w:val="20"/>
          <w:lang w:val="pl-PL"/>
        </w:rPr>
        <w:t xml:space="preserve"> nazwisko i dane kontaktowe osoby, do której można kierować </w:t>
      </w:r>
      <w:r w:rsidR="007C44CD">
        <w:rPr>
          <w:rFonts w:cs="Arial"/>
          <w:szCs w:val="20"/>
          <w:lang w:val="pl-PL"/>
        </w:rPr>
        <w:t>wezwania</w:t>
      </w:r>
      <w:r>
        <w:rPr>
          <w:rFonts w:cs="Arial"/>
          <w:szCs w:val="20"/>
          <w:lang w:val="pl-PL"/>
        </w:rPr>
        <w:t xml:space="preserve"> </w:t>
      </w:r>
      <w:r w:rsidR="007C44CD">
        <w:rPr>
          <w:rFonts w:cs="Arial"/>
          <w:szCs w:val="20"/>
          <w:lang w:val="pl-PL"/>
        </w:rPr>
        <w:t>do umieszczenia</w:t>
      </w:r>
      <w:r>
        <w:rPr>
          <w:rFonts w:cs="Arial"/>
          <w:szCs w:val="20"/>
          <w:lang w:val="pl-PL"/>
        </w:rPr>
        <w:t xml:space="preserve"> odpowiedzi.</w:t>
      </w:r>
    </w:p>
    <w:p w:rsidR="00647384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W związku z </w:t>
      </w:r>
      <w:r w:rsidR="006309CD">
        <w:rPr>
          <w:rFonts w:cs="Arial"/>
          <w:szCs w:val="20"/>
          <w:lang w:val="pl-PL"/>
        </w:rPr>
        <w:t>powyższym</w:t>
      </w:r>
      <w:r>
        <w:rPr>
          <w:rFonts w:cs="Arial"/>
          <w:szCs w:val="20"/>
          <w:lang w:val="pl-PL"/>
        </w:rPr>
        <w:t xml:space="preserve"> celem przepisy lub praktyka krajowa powinny określać, w jakim zakresie media są zobowiązane przechowywać przez rozsądny okres kopię publikowanych lub nadawanych informacji lub </w:t>
      </w:r>
      <w:r w:rsidR="006309CD">
        <w:rPr>
          <w:rFonts w:cs="Arial"/>
          <w:szCs w:val="20"/>
          <w:lang w:val="pl-PL"/>
        </w:rPr>
        <w:t>audycji. Okres taki powinien być nie krótszy niż termin</w:t>
      </w:r>
      <w:r>
        <w:rPr>
          <w:rFonts w:cs="Arial"/>
          <w:szCs w:val="20"/>
          <w:lang w:val="pl-PL"/>
        </w:rPr>
        <w:t xml:space="preserve">, w jakim mogą być składane </w:t>
      </w:r>
      <w:r w:rsidR="007C44CD">
        <w:rPr>
          <w:rFonts w:cs="Arial"/>
          <w:szCs w:val="20"/>
          <w:lang w:val="pl-PL"/>
        </w:rPr>
        <w:t>wezwania do</w:t>
      </w:r>
      <w:r>
        <w:rPr>
          <w:rFonts w:cs="Arial"/>
          <w:szCs w:val="20"/>
          <w:lang w:val="pl-PL"/>
        </w:rPr>
        <w:t xml:space="preserve"> </w:t>
      </w:r>
      <w:r w:rsidR="007C44CD">
        <w:rPr>
          <w:rFonts w:cs="Arial"/>
          <w:szCs w:val="20"/>
          <w:lang w:val="pl-PL"/>
        </w:rPr>
        <w:t>opublikowania</w:t>
      </w:r>
      <w:r>
        <w:rPr>
          <w:rFonts w:cs="Arial"/>
          <w:szCs w:val="20"/>
          <w:lang w:val="pl-PL"/>
        </w:rPr>
        <w:t xml:space="preserve"> odpowiedzi</w:t>
      </w:r>
      <w:r w:rsidR="006309CD">
        <w:rPr>
          <w:rFonts w:cs="Arial"/>
          <w:szCs w:val="20"/>
          <w:lang w:val="pl-PL"/>
        </w:rPr>
        <w:t>,</w:t>
      </w:r>
      <w:r>
        <w:rPr>
          <w:rFonts w:cs="Arial"/>
          <w:szCs w:val="20"/>
          <w:lang w:val="pl-PL"/>
        </w:rPr>
        <w:t xml:space="preserve"> lub </w:t>
      </w:r>
      <w:r w:rsidR="006309CD">
        <w:rPr>
          <w:rFonts w:cs="Arial"/>
          <w:szCs w:val="20"/>
          <w:lang w:val="pl-PL"/>
        </w:rPr>
        <w:t xml:space="preserve">okres </w:t>
      </w:r>
      <w:r>
        <w:rPr>
          <w:rFonts w:cs="Arial"/>
          <w:szCs w:val="20"/>
          <w:lang w:val="pl-PL"/>
        </w:rPr>
        <w:t>trwania sporu przed sądem lub innym właściwym organem.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</w:p>
    <w:p w:rsidR="00647384" w:rsidRPr="00883BB5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 xml:space="preserve">7. </w:t>
      </w:r>
      <w:r w:rsidRPr="00883BB5">
        <w:rPr>
          <w:rFonts w:cs="Arial"/>
          <w:b/>
          <w:bCs/>
          <w:szCs w:val="20"/>
          <w:lang w:val="pl-PL"/>
        </w:rPr>
        <w:tab/>
      </w:r>
      <w:r w:rsidR="0020412C">
        <w:rPr>
          <w:rFonts w:cs="Arial"/>
          <w:b/>
          <w:bCs/>
          <w:szCs w:val="20"/>
          <w:lang w:val="pl-PL"/>
        </w:rPr>
        <w:t>Archiwa elektroniczne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Jeśli kwestionowane informacje są przechowywane w dostępnych publicznie archiwach elektronicznych i przyznano prawo do odpowiedzi, należy w miarę możliwości dodać link łączący obie publikacje, aby zwrócić uwagę użytkownika na fakt, że udzielono odpowiedzi na oryginalną informację.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647384" w:rsidRPr="00883BB5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8.</w:t>
      </w:r>
      <w:r w:rsidRPr="00883BB5">
        <w:rPr>
          <w:rFonts w:cs="Arial"/>
          <w:b/>
          <w:bCs/>
          <w:szCs w:val="20"/>
          <w:lang w:val="pl-PL"/>
        </w:rPr>
        <w:tab/>
      </w:r>
      <w:r w:rsidR="0020412C">
        <w:rPr>
          <w:rFonts w:cs="Arial"/>
          <w:b/>
          <w:bCs/>
          <w:szCs w:val="20"/>
          <w:lang w:val="pl-PL"/>
        </w:rPr>
        <w:t>Rozstrzyganie sporów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Jeśli medium odrzuca </w:t>
      </w:r>
      <w:r w:rsidR="0005343D">
        <w:rPr>
          <w:rFonts w:cs="Arial"/>
          <w:szCs w:val="20"/>
          <w:lang w:val="pl-PL"/>
        </w:rPr>
        <w:t>wezwanie do opublikowania</w:t>
      </w:r>
      <w:r>
        <w:rPr>
          <w:rFonts w:cs="Arial"/>
          <w:szCs w:val="20"/>
          <w:lang w:val="pl-PL"/>
        </w:rPr>
        <w:t xml:space="preserve"> odpowiedzi lub jeśli odpowiedź nie zostaje upubliczniona w sposób spełniający oczekiwania osoby zainteresowanej, </w:t>
      </w:r>
      <w:r w:rsidR="00042814">
        <w:rPr>
          <w:rFonts w:cs="Arial"/>
          <w:szCs w:val="20"/>
          <w:lang w:val="pl-PL"/>
        </w:rPr>
        <w:t xml:space="preserve">osoba taka </w:t>
      </w:r>
      <w:r>
        <w:rPr>
          <w:rFonts w:cs="Arial"/>
          <w:szCs w:val="20"/>
          <w:lang w:val="pl-PL"/>
        </w:rPr>
        <w:t>powinna mieć możliwość wniesienia sporu do sądu lub innego organu uprawnionego do wydania nakazu opublikowania odpowiedzi.</w:t>
      </w:r>
    </w:p>
    <w:sectPr w:rsidR="0020412C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66" w:rsidRDefault="00355B66">
      <w:r>
        <w:separator/>
      </w:r>
    </w:p>
  </w:endnote>
  <w:endnote w:type="continuationSeparator" w:id="0">
    <w:p w:rsidR="00355B66" w:rsidRDefault="003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66" w:rsidRDefault="00355B66">
      <w:r>
        <w:separator/>
      </w:r>
    </w:p>
  </w:footnote>
  <w:footnote w:type="continuationSeparator" w:id="0">
    <w:p w:rsidR="00355B66" w:rsidRDefault="00355B66">
      <w:r>
        <w:continuationSeparator/>
      </w:r>
    </w:p>
  </w:footnote>
  <w:footnote w:id="1">
    <w:p w:rsidR="00647384" w:rsidRPr="00FA53A6" w:rsidRDefault="00360896" w:rsidP="00FA53A6">
      <w:pPr>
        <w:pStyle w:val="Tekstprzypisudolnego"/>
        <w:rPr>
          <w:lang w:val="pl-PL"/>
        </w:rPr>
      </w:pPr>
      <w:r w:rsidRPr="00FA53A6">
        <w:rPr>
          <w:rStyle w:val="Odwoanieprzypisudolnego"/>
          <w:lang w:val="pl-PL"/>
        </w:rPr>
        <w:footnoteRef/>
      </w:r>
      <w:r w:rsidRPr="00FA53A6">
        <w:rPr>
          <w:lang w:val="pl-PL"/>
        </w:rPr>
        <w:t xml:space="preserve"> </w:t>
      </w:r>
      <w:r w:rsidR="0005343D">
        <w:rPr>
          <w:lang w:val="pl-PL"/>
        </w:rPr>
        <w:t>Podczas</w:t>
      </w:r>
      <w:r w:rsidR="00FA53A6">
        <w:rPr>
          <w:lang w:val="pl-PL"/>
        </w:rPr>
        <w:t xml:space="preserve"> przyjmowania tego zalecenia Stali Przedstawiciele Wielkiej Brytanii i Republiki Słowacji wskazali, że zgodnie z art. 10 pkt 2 lit. c) </w:t>
      </w:r>
      <w:r w:rsidR="007C44CD">
        <w:rPr>
          <w:lang w:val="pl-PL"/>
        </w:rPr>
        <w:t xml:space="preserve">Regulaminu proceduralnego </w:t>
      </w:r>
      <w:r w:rsidR="00FA53A6">
        <w:rPr>
          <w:lang w:val="pl-PL"/>
        </w:rPr>
        <w:t xml:space="preserve">posiedzeń </w:t>
      </w:r>
      <w:r w:rsidR="007C44CD">
        <w:rPr>
          <w:lang w:val="pl-PL"/>
        </w:rPr>
        <w:t>z</w:t>
      </w:r>
      <w:r w:rsidR="00FA53A6">
        <w:rPr>
          <w:lang w:val="pl-PL"/>
        </w:rPr>
        <w:t xml:space="preserve">astępców </w:t>
      </w:r>
      <w:r w:rsidR="007C44CD">
        <w:rPr>
          <w:lang w:val="pl-PL"/>
        </w:rPr>
        <w:t>m</w:t>
      </w:r>
      <w:r w:rsidR="00FA53A6">
        <w:rPr>
          <w:lang w:val="pl-PL"/>
        </w:rPr>
        <w:t xml:space="preserve">inistrów zastrzegają prawo swoich rządów do spełnienia lub </w:t>
      </w:r>
      <w:r w:rsidR="006309CD">
        <w:rPr>
          <w:lang w:val="pl-PL"/>
        </w:rPr>
        <w:t xml:space="preserve">pominięcia </w:t>
      </w:r>
      <w:r w:rsidR="00FA53A6">
        <w:rPr>
          <w:lang w:val="pl-PL"/>
        </w:rPr>
        <w:t xml:space="preserve">wymogów </w:t>
      </w:r>
      <w:r w:rsidR="0005343D">
        <w:rPr>
          <w:lang w:val="pl-PL"/>
        </w:rPr>
        <w:t>zalecenia w zakresie dotyczącym</w:t>
      </w:r>
      <w:r w:rsidR="00FA53A6">
        <w:rPr>
          <w:lang w:val="pl-PL"/>
        </w:rPr>
        <w:t xml:space="preserve"> usług online</w:t>
      </w:r>
      <w:r w:rsidRPr="00FA53A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57C"/>
    <w:multiLevelType w:val="hybridMultilevel"/>
    <w:tmpl w:val="AC966BC4"/>
    <w:lvl w:ilvl="0" w:tplc="0B10A98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143709"/>
    <w:multiLevelType w:val="hybridMultilevel"/>
    <w:tmpl w:val="3C304AF2"/>
    <w:lvl w:ilvl="0" w:tplc="814A5F18">
      <w:start w:val="39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lang w:val="en-GB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30"/>
    <w:rsid w:val="00042814"/>
    <w:rsid w:val="0005343D"/>
    <w:rsid w:val="00133B70"/>
    <w:rsid w:val="0020412C"/>
    <w:rsid w:val="00211087"/>
    <w:rsid w:val="003240E8"/>
    <w:rsid w:val="00355B66"/>
    <w:rsid w:val="00360896"/>
    <w:rsid w:val="00404D51"/>
    <w:rsid w:val="004523CC"/>
    <w:rsid w:val="00502630"/>
    <w:rsid w:val="006309CD"/>
    <w:rsid w:val="00647384"/>
    <w:rsid w:val="007C44CD"/>
    <w:rsid w:val="007E0555"/>
    <w:rsid w:val="00883BB5"/>
    <w:rsid w:val="00AD425B"/>
    <w:rsid w:val="00B208ED"/>
    <w:rsid w:val="00D90BE0"/>
    <w:rsid w:val="00E23272"/>
    <w:rsid w:val="00F80B55"/>
    <w:rsid w:val="00FA53A6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/>
      <w:sz w:val="24"/>
      <w:lang w:val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/>
      <w:sz w:val="24"/>
      <w:lang w:val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M%20General%20documents\eDecis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eDecision</Template>
  <TotalTime>0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Decision of the Ministers' Deputies</vt:lpstr>
    </vt:vector>
  </TitlesOfParts>
  <Company>BABEL s.c., 81-703 Sopot, ul. Kościuszki 61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Ministers' Deputies</dc:title>
  <dc:creator>BABEL s.c.</dc:creator>
  <dc:description>(+48 58) 5500132, 5510076, 5517258_x000d_biuro@babel.pl, office@babel.pl_x000d_www.babel.pl</dc:description>
  <cp:lastModifiedBy>Krynska Joanna</cp:lastModifiedBy>
  <cp:revision>2</cp:revision>
  <cp:lastPrinted>2004-12-14T14:29:00Z</cp:lastPrinted>
  <dcterms:created xsi:type="dcterms:W3CDTF">2015-08-24T11:01:00Z</dcterms:created>
  <dcterms:modified xsi:type="dcterms:W3CDTF">2015-08-24T11:01:00Z</dcterms:modified>
</cp:coreProperties>
</file>