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5F" w:rsidRDefault="00D10BB0" w:rsidP="00F90F5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Wyniki </w:t>
      </w:r>
      <w:r w:rsidR="002F6EB4">
        <w:rPr>
          <w:rFonts w:ascii="Calibri" w:hAnsi="Calibri"/>
          <w:b/>
          <w:sz w:val="22"/>
          <w:szCs w:val="22"/>
        </w:rPr>
        <w:t>monitoringu</w:t>
      </w:r>
      <w:r>
        <w:rPr>
          <w:rFonts w:ascii="Calibri" w:hAnsi="Calibri"/>
          <w:b/>
          <w:sz w:val="22"/>
          <w:szCs w:val="22"/>
        </w:rPr>
        <w:t xml:space="preserve"> o</w:t>
      </w:r>
      <w:r w:rsidR="00F90F5F" w:rsidRPr="00F90F5F">
        <w:rPr>
          <w:rFonts w:ascii="Calibri" w:hAnsi="Calibri"/>
          <w:b/>
          <w:sz w:val="22"/>
          <w:szCs w:val="22"/>
        </w:rPr>
        <w:t>becnoś</w:t>
      </w:r>
      <w:r w:rsidR="002F6EB4">
        <w:rPr>
          <w:rFonts w:ascii="Calibri" w:hAnsi="Calibri"/>
          <w:b/>
          <w:sz w:val="22"/>
          <w:szCs w:val="22"/>
        </w:rPr>
        <w:t>ci</w:t>
      </w:r>
      <w:r w:rsidR="00F90F5F" w:rsidRPr="00F90F5F">
        <w:rPr>
          <w:rFonts w:ascii="Calibri" w:hAnsi="Calibri"/>
          <w:b/>
          <w:sz w:val="22"/>
          <w:szCs w:val="22"/>
        </w:rPr>
        <w:t xml:space="preserve"> i sposób prezentacji </w:t>
      </w:r>
      <w:r w:rsidR="002F6EB4">
        <w:rPr>
          <w:rFonts w:ascii="Calibri" w:hAnsi="Calibri"/>
          <w:b/>
          <w:sz w:val="22"/>
          <w:szCs w:val="22"/>
        </w:rPr>
        <w:t>kobiet</w:t>
      </w:r>
      <w:r w:rsidR="00F90F5F" w:rsidRPr="00F90F5F">
        <w:rPr>
          <w:rFonts w:ascii="Calibri" w:hAnsi="Calibri"/>
          <w:b/>
          <w:sz w:val="22"/>
          <w:szCs w:val="22"/>
        </w:rPr>
        <w:t xml:space="preserve"> w serialach telewizyjnych</w:t>
      </w:r>
    </w:p>
    <w:p w:rsidR="00A4346E" w:rsidRPr="002F6EB4" w:rsidRDefault="002F6EB4" w:rsidP="002F6EB4">
      <w:pPr>
        <w:pStyle w:val="Default"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F6EB4">
        <w:rPr>
          <w:rFonts w:asciiTheme="minorHAnsi" w:hAnsiTheme="minorHAnsi" w:cstheme="minorHAnsi"/>
          <w:b/>
          <w:sz w:val="22"/>
        </w:rPr>
        <w:t>Seriale telewizyjne stanowią niewątpliwie ważny kanał odzwierciedlania i powielania wzorców kulturowych.</w:t>
      </w:r>
      <w:r w:rsidRPr="00D10BB0">
        <w:rPr>
          <w:rFonts w:asciiTheme="minorHAnsi" w:hAnsiTheme="minorHAnsi" w:cstheme="minorHAnsi"/>
          <w:sz w:val="22"/>
        </w:rPr>
        <w:t xml:space="preserve"> </w:t>
      </w:r>
      <w:r w:rsidRPr="002F6EB4">
        <w:rPr>
          <w:rFonts w:asciiTheme="minorHAnsi" w:hAnsiTheme="minorHAnsi"/>
          <w:b/>
          <w:sz w:val="22"/>
          <w:szCs w:val="22"/>
        </w:rPr>
        <w:t>Przeprowadzona w 2019 roku</w:t>
      </w:r>
      <w:r w:rsidR="008E7879">
        <w:rPr>
          <w:rFonts w:asciiTheme="minorHAnsi" w:hAnsiTheme="minorHAnsi"/>
          <w:b/>
          <w:sz w:val="22"/>
          <w:szCs w:val="22"/>
        </w:rPr>
        <w:t xml:space="preserve"> na zlecenie KRRiT</w:t>
      </w:r>
      <w:r w:rsidRPr="002F6EB4">
        <w:rPr>
          <w:rFonts w:asciiTheme="minorHAnsi" w:hAnsiTheme="minorHAnsi"/>
          <w:b/>
          <w:sz w:val="22"/>
          <w:szCs w:val="22"/>
        </w:rPr>
        <w:t xml:space="preserve"> analiza polskich seriali</w:t>
      </w:r>
      <w:r w:rsidR="008E7879">
        <w:rPr>
          <w:rFonts w:asciiTheme="minorHAnsi" w:hAnsiTheme="minorHAnsi"/>
          <w:b/>
          <w:sz w:val="22"/>
          <w:szCs w:val="22"/>
        </w:rPr>
        <w:t>,</w:t>
      </w:r>
      <w:r w:rsidRPr="002F6EB4">
        <w:rPr>
          <w:rFonts w:asciiTheme="minorHAnsi" w:hAnsiTheme="minorHAnsi"/>
          <w:b/>
          <w:sz w:val="22"/>
          <w:szCs w:val="22"/>
        </w:rPr>
        <w:t xml:space="preserve"> </w:t>
      </w:r>
      <w:r w:rsidR="008E7879">
        <w:rPr>
          <w:rFonts w:asciiTheme="minorHAnsi" w:hAnsiTheme="minorHAnsi"/>
          <w:b/>
          <w:sz w:val="22"/>
          <w:szCs w:val="22"/>
        </w:rPr>
        <w:t xml:space="preserve">wykonana </w:t>
      </w:r>
      <w:r w:rsidR="008E7879" w:rsidRPr="002F6EB4">
        <w:rPr>
          <w:rFonts w:asciiTheme="minorHAnsi" w:hAnsiTheme="minorHAnsi"/>
          <w:b/>
          <w:sz w:val="22"/>
          <w:szCs w:val="22"/>
        </w:rPr>
        <w:t>przez socjologów z Uniwersytetu Mikołaja Kopernika w Toruniu</w:t>
      </w:r>
      <w:r w:rsidR="008E7879">
        <w:rPr>
          <w:rFonts w:asciiTheme="minorHAnsi" w:hAnsiTheme="minorHAnsi"/>
          <w:b/>
          <w:sz w:val="22"/>
          <w:szCs w:val="22"/>
        </w:rPr>
        <w:t>,</w:t>
      </w:r>
      <w:r w:rsidR="008E7879" w:rsidRPr="002F6EB4">
        <w:rPr>
          <w:rFonts w:asciiTheme="minorHAnsi" w:hAnsiTheme="minorHAnsi"/>
          <w:b/>
          <w:sz w:val="22"/>
          <w:szCs w:val="22"/>
        </w:rPr>
        <w:t xml:space="preserve"> </w:t>
      </w:r>
      <w:r w:rsidRPr="002F6EB4">
        <w:rPr>
          <w:rFonts w:asciiTheme="minorHAnsi" w:hAnsiTheme="minorHAnsi"/>
          <w:b/>
          <w:sz w:val="22"/>
          <w:szCs w:val="22"/>
        </w:rPr>
        <w:t>skupiła się tylko na jednym, ale</w:t>
      </w:r>
      <w:r w:rsidR="008E7879">
        <w:rPr>
          <w:rFonts w:asciiTheme="minorHAnsi" w:hAnsiTheme="minorHAnsi"/>
          <w:b/>
          <w:sz w:val="22"/>
          <w:szCs w:val="22"/>
        </w:rPr>
        <w:t> </w:t>
      </w:r>
      <w:r w:rsidRPr="002F6EB4">
        <w:rPr>
          <w:rFonts w:asciiTheme="minorHAnsi" w:hAnsiTheme="minorHAnsi"/>
          <w:b/>
          <w:sz w:val="22"/>
          <w:szCs w:val="22"/>
        </w:rPr>
        <w:t>bardzo ważnym aspekcie wzorców kulturowych: prezentacji postaci kobiecych.</w:t>
      </w:r>
    </w:p>
    <w:p w:rsidR="00FC21CF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Analizie poddano osiem seriali wyprodukowanych i emitowanych przez Telewizję Polską, TVN i </w:t>
      </w:r>
      <w:r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Telewizję Polsat. Przegląd zawierał produkcje z takich gatunków, jak: seriale obyczajowe – telenowele („M jak miłość” i „Pierwsza miłość”); seriale historyczno-obyczajowe („Wojenne dziewczyny” i „Korona królów”); </w:t>
      </w:r>
      <w:r w:rsidR="00FC21CF">
        <w:rPr>
          <w:rFonts w:ascii="Calibri" w:hAnsi="Calibri"/>
          <w:sz w:val="22"/>
          <w:szCs w:val="22"/>
        </w:rPr>
        <w:t xml:space="preserve"> </w:t>
      </w:r>
      <w:r w:rsidRPr="00A4346E">
        <w:rPr>
          <w:rFonts w:ascii="Calibri" w:hAnsi="Calibri"/>
          <w:sz w:val="22"/>
          <w:szCs w:val="22"/>
        </w:rPr>
        <w:t>seriale kryminalno-obyczajowe („Pułapka” i „Diagnoza”) oraz seriale</w:t>
      </w:r>
      <w:r w:rsidR="00FC21CF">
        <w:rPr>
          <w:rFonts w:ascii="Calibri" w:hAnsi="Calibri"/>
          <w:sz w:val="22"/>
          <w:szCs w:val="22"/>
        </w:rPr>
        <w:t xml:space="preserve"> </w:t>
      </w:r>
      <w:r w:rsidRPr="00A4346E">
        <w:rPr>
          <w:rFonts w:ascii="Calibri" w:hAnsi="Calibri"/>
          <w:sz w:val="22"/>
          <w:szCs w:val="22"/>
        </w:rPr>
        <w:t>komediowo-obyczajowe („Dziewczyny ze Lwowa” i „Przyjaciółki”). W sumie badanie objęło 76 odcinków</w:t>
      </w:r>
      <w:r w:rsidR="00FC21CF">
        <w:rPr>
          <w:rFonts w:ascii="Calibri" w:hAnsi="Calibri"/>
          <w:sz w:val="22"/>
          <w:szCs w:val="22"/>
        </w:rPr>
        <w:t>, a ł</w:t>
      </w:r>
      <w:r w:rsidRPr="00A4346E">
        <w:rPr>
          <w:rFonts w:ascii="Calibri" w:hAnsi="Calibri"/>
          <w:sz w:val="22"/>
          <w:szCs w:val="22"/>
        </w:rPr>
        <w:t xml:space="preserve">ączna długość materiału poddanego analizie wyniosła 46 godzin i 52 minuty. </w:t>
      </w:r>
    </w:p>
    <w:p w:rsidR="00A4346E" w:rsidRPr="00A4346E" w:rsidRDefault="00FC21CF" w:rsidP="00A434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A4346E" w:rsidRPr="00A4346E">
        <w:rPr>
          <w:rFonts w:ascii="Calibri" w:hAnsi="Calibri"/>
          <w:sz w:val="22"/>
          <w:szCs w:val="22"/>
        </w:rPr>
        <w:t xml:space="preserve"> celu opisania badanego zjawiska, zastosowano metody ilościowe i jakościowe. Przedmiotem analizy ilościowej był łączny czas wypowiadania się postaci kobiecych oraz ich widoczność na ekranie. Poza tym, w ramach tej analizy, dokonano identyfikacji i pomiaru czasu trwania najważniejszych wątków tematycznych. Natomiast analiza jakościowa oparta została na identyfikacji najważniejszych stereotypów płciowych oraz ich wykorzystaniu w fabule seriali.</w:t>
      </w:r>
    </w:p>
    <w:p w:rsidR="00A4346E" w:rsidRDefault="00FC21CF" w:rsidP="00A4346E">
      <w:pPr>
        <w:jc w:val="both"/>
        <w:rPr>
          <w:rFonts w:cstheme="minorHAnsi"/>
        </w:rPr>
      </w:pPr>
      <w:r>
        <w:rPr>
          <w:rFonts w:ascii="Calibri" w:hAnsi="Calibri"/>
          <w:sz w:val="22"/>
          <w:szCs w:val="22"/>
        </w:rPr>
        <w:t>W wyniku przeprowadzonej analizy stwierdzono</w:t>
      </w:r>
      <w:r w:rsidR="00792A3F">
        <w:rPr>
          <w:rFonts w:ascii="Calibri" w:hAnsi="Calibri"/>
          <w:sz w:val="22"/>
          <w:szCs w:val="22"/>
        </w:rPr>
        <w:t>, m.in.</w:t>
      </w:r>
      <w:r>
        <w:rPr>
          <w:rFonts w:ascii="Calibri" w:hAnsi="Calibri"/>
          <w:sz w:val="22"/>
          <w:szCs w:val="22"/>
        </w:rPr>
        <w:t>, że</w:t>
      </w:r>
      <w:r w:rsidR="00A4346E" w:rsidRPr="00A434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A4346E" w:rsidRPr="00A4346E">
        <w:rPr>
          <w:rFonts w:ascii="Calibri" w:hAnsi="Calibri"/>
          <w:sz w:val="22"/>
          <w:szCs w:val="22"/>
        </w:rPr>
        <w:t xml:space="preserve"> warstwie dźwiękowej analizowanych serial</w:t>
      </w:r>
      <w:r>
        <w:rPr>
          <w:rFonts w:ascii="Calibri" w:hAnsi="Calibri"/>
          <w:sz w:val="22"/>
          <w:szCs w:val="22"/>
        </w:rPr>
        <w:t>i</w:t>
      </w:r>
      <w:r w:rsidR="00A4346E" w:rsidRPr="00A4346E">
        <w:rPr>
          <w:rFonts w:ascii="Calibri" w:hAnsi="Calibri"/>
          <w:sz w:val="22"/>
          <w:szCs w:val="22"/>
        </w:rPr>
        <w:t xml:space="preserve">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kobiece wypowiada</w:t>
      </w:r>
      <w:r>
        <w:rPr>
          <w:rFonts w:ascii="Calibri" w:hAnsi="Calibri"/>
          <w:sz w:val="22"/>
          <w:szCs w:val="22"/>
        </w:rPr>
        <w:t>ły</w:t>
      </w:r>
      <w:r w:rsidR="00A4346E" w:rsidRPr="00A4346E">
        <w:rPr>
          <w:rFonts w:ascii="Calibri" w:hAnsi="Calibri"/>
          <w:sz w:val="22"/>
          <w:szCs w:val="22"/>
        </w:rPr>
        <w:t xml:space="preserve"> się o jedną piątą czasu dłużej niż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męskie i </w:t>
      </w:r>
      <w:r>
        <w:rPr>
          <w:rFonts w:ascii="Calibri" w:hAnsi="Calibri"/>
          <w:sz w:val="22"/>
          <w:szCs w:val="22"/>
        </w:rPr>
        <w:t>były</w:t>
      </w:r>
      <w:r w:rsidR="00A4346E" w:rsidRPr="00A4346E">
        <w:rPr>
          <w:rFonts w:ascii="Calibri" w:hAnsi="Calibri"/>
          <w:sz w:val="22"/>
          <w:szCs w:val="22"/>
        </w:rPr>
        <w:t xml:space="preserve"> widoczne na ekranie o 15% dłużej niż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męskie.</w:t>
      </w:r>
      <w:r w:rsidR="00A4346E" w:rsidRPr="00963A8C">
        <w:rPr>
          <w:rFonts w:cstheme="minorHAnsi"/>
        </w:rPr>
        <w:t xml:space="preserve"> </w:t>
      </w:r>
    </w:p>
    <w:p w:rsidR="00A4346E" w:rsidRPr="00A4346E" w:rsidRDefault="00A4346E" w:rsidP="00A4346E">
      <w:pPr>
        <w:pStyle w:val="Wykres"/>
        <w:rPr>
          <w:rFonts w:asciiTheme="minorHAnsi" w:hAnsiTheme="minorHAnsi" w:cstheme="minorHAnsi"/>
          <w:szCs w:val="24"/>
        </w:rPr>
      </w:pPr>
      <w:bookmarkStart w:id="0" w:name="_Toc23403549"/>
      <w:r w:rsidRPr="00A4346E">
        <w:rPr>
          <w:rFonts w:asciiTheme="minorHAnsi" w:hAnsiTheme="minorHAnsi" w:cstheme="minorHAnsi"/>
          <w:szCs w:val="24"/>
        </w:rPr>
        <w:t>Ekspozycja czynna (czas wypowiadania się) w próbie</w:t>
      </w:r>
      <w:bookmarkEnd w:id="0"/>
    </w:p>
    <w:p w:rsidR="00A4346E" w:rsidRPr="00963A8C" w:rsidRDefault="00A4346E" w:rsidP="00A4346E">
      <w:pPr>
        <w:spacing w:line="360" w:lineRule="auto"/>
        <w:jc w:val="both"/>
        <w:rPr>
          <w:rFonts w:cstheme="minorHAnsi"/>
        </w:rPr>
      </w:pPr>
      <w:r w:rsidRPr="00963A8C">
        <w:rPr>
          <w:rFonts w:cstheme="minorHAnsi"/>
          <w:noProof/>
        </w:rPr>
        <w:drawing>
          <wp:inline distT="0" distB="0" distL="0" distR="0" wp14:anchorId="72B5C7C0" wp14:editId="42BD099C">
            <wp:extent cx="5775960" cy="2918460"/>
            <wp:effectExtent l="0" t="0" r="15240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>Przewaga w wypowiadaniu się kobiet występ</w:t>
      </w:r>
      <w:r w:rsidR="00FC21CF">
        <w:rPr>
          <w:rFonts w:ascii="Calibri" w:hAnsi="Calibri"/>
          <w:sz w:val="22"/>
          <w:szCs w:val="22"/>
        </w:rPr>
        <w:t>owała</w:t>
      </w:r>
      <w:r w:rsidRPr="00A4346E">
        <w:rPr>
          <w:rFonts w:ascii="Calibri" w:hAnsi="Calibri"/>
          <w:sz w:val="22"/>
          <w:szCs w:val="22"/>
        </w:rPr>
        <w:t xml:space="preserve"> w większości badanych seriali. Jedyną grupę seriali, w których proporcje te </w:t>
      </w:r>
      <w:r w:rsidR="00FC21CF">
        <w:rPr>
          <w:rFonts w:ascii="Calibri" w:hAnsi="Calibri"/>
          <w:sz w:val="22"/>
          <w:szCs w:val="22"/>
        </w:rPr>
        <w:t>były</w:t>
      </w:r>
      <w:r w:rsidRPr="00A4346E">
        <w:rPr>
          <w:rFonts w:ascii="Calibri" w:hAnsi="Calibri"/>
          <w:sz w:val="22"/>
          <w:szCs w:val="22"/>
        </w:rPr>
        <w:t xml:space="preserve"> odwrócone, stanowi</w:t>
      </w:r>
      <w:r w:rsidR="00FC21CF">
        <w:rPr>
          <w:rFonts w:ascii="Calibri" w:hAnsi="Calibri"/>
          <w:sz w:val="22"/>
          <w:szCs w:val="22"/>
        </w:rPr>
        <w:t>ły</w:t>
      </w:r>
      <w:r w:rsidRPr="00A4346E">
        <w:rPr>
          <w:rFonts w:ascii="Calibri" w:hAnsi="Calibri"/>
          <w:sz w:val="22"/>
          <w:szCs w:val="22"/>
        </w:rPr>
        <w:t xml:space="preserve"> filmy historyczno-obyczajowe. W</w:t>
      </w:r>
      <w:r w:rsidR="00FC21CF"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telenowelach natomiast czas wypowiadania się kobiet i mężczyzn </w:t>
      </w:r>
      <w:r w:rsidR="00FC21CF">
        <w:rPr>
          <w:rFonts w:ascii="Calibri" w:hAnsi="Calibri"/>
          <w:sz w:val="22"/>
          <w:szCs w:val="22"/>
        </w:rPr>
        <w:t>był</w:t>
      </w:r>
      <w:r w:rsidRPr="00A4346E">
        <w:rPr>
          <w:rFonts w:ascii="Calibri" w:hAnsi="Calibri"/>
          <w:sz w:val="22"/>
          <w:szCs w:val="22"/>
        </w:rPr>
        <w:t xml:space="preserve"> w zasadzie zrównoważony.</w:t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Kobiety i mężczyźni prezentowani </w:t>
      </w:r>
      <w:r w:rsidR="00FC21CF">
        <w:rPr>
          <w:rFonts w:ascii="Calibri" w:hAnsi="Calibri"/>
          <w:sz w:val="22"/>
          <w:szCs w:val="22"/>
        </w:rPr>
        <w:t>byli</w:t>
      </w:r>
      <w:r w:rsidRPr="00A4346E">
        <w:rPr>
          <w:rFonts w:ascii="Calibri" w:hAnsi="Calibri"/>
          <w:sz w:val="22"/>
          <w:szCs w:val="22"/>
        </w:rPr>
        <w:t xml:space="preserve"> w serialach w różnych konfiguracjach. Najczęściej </w:t>
      </w:r>
      <w:r w:rsidR="00FC21CF">
        <w:rPr>
          <w:rFonts w:ascii="Calibri" w:hAnsi="Calibri"/>
          <w:sz w:val="22"/>
          <w:szCs w:val="22"/>
        </w:rPr>
        <w:t>mieliśmy</w:t>
      </w:r>
      <w:r w:rsidRPr="00A4346E">
        <w:rPr>
          <w:rFonts w:ascii="Calibri" w:hAnsi="Calibri"/>
          <w:sz w:val="22"/>
          <w:szCs w:val="22"/>
        </w:rPr>
        <w:t xml:space="preserve"> do</w:t>
      </w:r>
      <w:r w:rsidR="00FC21CF"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czynienia ze sceną, w której na ekranie widoczna </w:t>
      </w:r>
      <w:r w:rsidR="00FC21CF">
        <w:rPr>
          <w:rFonts w:ascii="Calibri" w:hAnsi="Calibri"/>
          <w:sz w:val="22"/>
          <w:szCs w:val="22"/>
        </w:rPr>
        <w:t>była</w:t>
      </w:r>
      <w:r w:rsidRPr="00A4346E">
        <w:rPr>
          <w:rFonts w:ascii="Calibri" w:hAnsi="Calibri"/>
          <w:sz w:val="22"/>
          <w:szCs w:val="22"/>
        </w:rPr>
        <w:t xml:space="preserve"> pojedyncza kobieta (26% całego czasu nagrań). Dwie kolejne konfiguracje, które wystąpiły mniej więcej równie często, to scena z samym mężczyzną (21%) oraz scena z dwiema osobami różnej płci (20%). Generalnie warto zwrócić uwagę, </w:t>
      </w:r>
      <w:r w:rsidRPr="00A4346E">
        <w:rPr>
          <w:rFonts w:ascii="Calibri" w:hAnsi="Calibri"/>
          <w:sz w:val="22"/>
          <w:szCs w:val="22"/>
        </w:rPr>
        <w:lastRenderedPageBreak/>
        <w:t>że praktycznie tyle samo czasu zajm</w:t>
      </w:r>
      <w:r w:rsidR="00FC21CF">
        <w:rPr>
          <w:rFonts w:ascii="Calibri" w:hAnsi="Calibri"/>
          <w:sz w:val="22"/>
          <w:szCs w:val="22"/>
        </w:rPr>
        <w:t>owały</w:t>
      </w:r>
      <w:r w:rsidRPr="00A4346E">
        <w:rPr>
          <w:rFonts w:ascii="Calibri" w:hAnsi="Calibri"/>
          <w:sz w:val="22"/>
          <w:szCs w:val="22"/>
        </w:rPr>
        <w:t xml:space="preserve"> sceny z jedną osobą widoczną na ekranie (kobietą lub mężczyzną – 47%) oraz sceny grupowe (48%). </w:t>
      </w:r>
    </w:p>
    <w:p w:rsidR="00A4346E" w:rsidRPr="00963A8C" w:rsidRDefault="00A4346E" w:rsidP="00A4346E">
      <w:pPr>
        <w:pStyle w:val="Wykres"/>
        <w:rPr>
          <w:rFonts w:asciiTheme="minorHAnsi" w:hAnsiTheme="minorHAnsi" w:cstheme="minorHAnsi"/>
          <w:sz w:val="24"/>
          <w:szCs w:val="24"/>
        </w:rPr>
      </w:pPr>
      <w:bookmarkStart w:id="1" w:name="_Toc23403551"/>
      <w:r w:rsidRPr="00A4346E">
        <w:rPr>
          <w:rFonts w:asciiTheme="minorHAnsi" w:hAnsiTheme="minorHAnsi" w:cstheme="minorHAnsi"/>
        </w:rPr>
        <w:t>Konfiguracje widoczności postaci na ekranie</w:t>
      </w:r>
      <w:bookmarkEnd w:id="1"/>
    </w:p>
    <w:p w:rsidR="00A4346E" w:rsidRPr="00963A8C" w:rsidRDefault="00A4346E" w:rsidP="00A4346E">
      <w:pPr>
        <w:spacing w:line="360" w:lineRule="auto"/>
        <w:jc w:val="both"/>
        <w:rPr>
          <w:rFonts w:cstheme="minorHAnsi"/>
        </w:rPr>
      </w:pPr>
      <w:r w:rsidRPr="00963A8C">
        <w:rPr>
          <w:rFonts w:cstheme="minorHAnsi"/>
          <w:noProof/>
        </w:rPr>
        <w:drawing>
          <wp:inline distT="0" distB="0" distL="0" distR="0" wp14:anchorId="69267F0F" wp14:editId="04E5570B">
            <wp:extent cx="5760720" cy="3055620"/>
            <wp:effectExtent l="0" t="0" r="11430" b="11430"/>
            <wp:docPr id="97" name="Wykres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Prezentowane postaci kobiece i męskie zostały przeanalizowane przy uwzględnieniu kontekstów, w których została osadzona ich gra. Dominującymi wątkami w próbie </w:t>
      </w:r>
      <w:r w:rsidR="00FC21CF">
        <w:rPr>
          <w:rFonts w:ascii="Calibri" w:hAnsi="Calibri"/>
          <w:sz w:val="22"/>
          <w:szCs w:val="22"/>
        </w:rPr>
        <w:t>były</w:t>
      </w:r>
      <w:r w:rsidRPr="00A4346E">
        <w:rPr>
          <w:rFonts w:ascii="Calibri" w:hAnsi="Calibri"/>
          <w:sz w:val="22"/>
          <w:szCs w:val="22"/>
        </w:rPr>
        <w:t xml:space="preserve"> zagadnienia relacji interpersonalnych o charakterze związków partnerskich, uczuciowych i seksualnych (29%) oraz niezobowiązującej towarzyskości (spotkania, wizyty, imprezy –</w:t>
      </w:r>
      <w:r w:rsidRPr="00A4346E">
        <w:rPr>
          <w:rFonts w:ascii="Calibri" w:hAnsi="Calibri"/>
          <w:sz w:val="22"/>
          <w:szCs w:val="22"/>
        </w:rPr>
        <w:softHyphen/>
        <w:t xml:space="preserve"> 26%). Łącznie oba konteksty obejm</w:t>
      </w:r>
      <w:r w:rsidR="00FC21CF">
        <w:rPr>
          <w:rFonts w:ascii="Calibri" w:hAnsi="Calibri"/>
          <w:sz w:val="22"/>
          <w:szCs w:val="22"/>
        </w:rPr>
        <w:t>owały</w:t>
      </w:r>
      <w:r w:rsidRPr="00A4346E">
        <w:rPr>
          <w:rFonts w:ascii="Calibri" w:hAnsi="Calibri"/>
          <w:sz w:val="22"/>
          <w:szCs w:val="22"/>
        </w:rPr>
        <w:t xml:space="preserve"> 55% czasu.</w:t>
      </w:r>
    </w:p>
    <w:p w:rsidR="00A4346E" w:rsidRPr="00A4346E" w:rsidRDefault="00A4346E" w:rsidP="00A4346E">
      <w:pPr>
        <w:pStyle w:val="Wykres"/>
        <w:rPr>
          <w:rFonts w:asciiTheme="minorHAnsi" w:hAnsiTheme="minorHAnsi" w:cstheme="minorHAnsi"/>
          <w:szCs w:val="24"/>
        </w:rPr>
      </w:pPr>
      <w:bookmarkStart w:id="2" w:name="_Toc23403552"/>
      <w:r w:rsidRPr="00A4346E">
        <w:rPr>
          <w:rFonts w:asciiTheme="minorHAnsi" w:hAnsiTheme="minorHAnsi" w:cstheme="minorHAnsi"/>
          <w:szCs w:val="24"/>
        </w:rPr>
        <w:t>Udział kontekstów w łącznym czasie nagrań</w:t>
      </w:r>
      <w:bookmarkEnd w:id="2"/>
    </w:p>
    <w:p w:rsidR="00A4346E" w:rsidRDefault="00A4346E" w:rsidP="00A4346E">
      <w:pPr>
        <w:jc w:val="both"/>
      </w:pPr>
      <w:r w:rsidRPr="008918E6">
        <w:rPr>
          <w:noProof/>
        </w:rPr>
        <w:drawing>
          <wp:inline distT="0" distB="0" distL="0" distR="0" wp14:anchorId="6D48E662" wp14:editId="20BB2FF2">
            <wp:extent cx="5713730" cy="3200400"/>
            <wp:effectExtent l="0" t="0" r="0" b="0"/>
            <wp:docPr id="49" name="Wykres 3"/>
            <wp:cNvGraphicFramePr>
              <a:graphicFrameLocks xmlns:a="http://schemas.openxmlformats.org/drawingml/2006/main" noGrp="1" noDrilldown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Wykres 3"/>
                    <pic:cNvPicPr>
                      <a:picLocks noGrp="1" noRot="1" noChangeAspect="1" noMove="1" noResize="1" noEditPoints="1" noAdjustHandles="1" noChangeArrowheads="1" noChangeShapeType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6E" w:rsidRPr="005D6B96" w:rsidRDefault="00A4346E" w:rsidP="00A4346E">
      <w:pPr>
        <w:jc w:val="both"/>
        <w:rPr>
          <w:sz w:val="20"/>
        </w:rPr>
      </w:pPr>
      <w:r w:rsidRPr="005D6B96">
        <w:rPr>
          <w:sz w:val="20"/>
        </w:rPr>
        <w:lastRenderedPageBreak/>
        <w:t>1 – walka zbrojna (1,4%)</w:t>
      </w:r>
      <w:r>
        <w:rPr>
          <w:sz w:val="20"/>
        </w:rPr>
        <w:t xml:space="preserve">; </w:t>
      </w:r>
      <w:r w:rsidRPr="005D6B96">
        <w:rPr>
          <w:sz w:val="20"/>
        </w:rPr>
        <w:t>2 – zakupy (0,7%)</w:t>
      </w:r>
      <w:r>
        <w:rPr>
          <w:sz w:val="20"/>
        </w:rPr>
        <w:t xml:space="preserve">; </w:t>
      </w:r>
      <w:r w:rsidRPr="005D6B96">
        <w:rPr>
          <w:sz w:val="20"/>
        </w:rPr>
        <w:t>3 –</w:t>
      </w:r>
      <w:r>
        <w:rPr>
          <w:sz w:val="20"/>
        </w:rPr>
        <w:t xml:space="preserve"> </w:t>
      </w:r>
      <w:r w:rsidRPr="005D6B96">
        <w:rPr>
          <w:sz w:val="20"/>
        </w:rPr>
        <w:t>uczestnictwo w kulturze (0,6%)</w:t>
      </w:r>
      <w:r>
        <w:rPr>
          <w:sz w:val="20"/>
        </w:rPr>
        <w:t xml:space="preserve">; </w:t>
      </w:r>
      <w:r w:rsidRPr="005D6B96">
        <w:rPr>
          <w:sz w:val="20"/>
        </w:rPr>
        <w:t>4 – wypoczynek aktywny (0,6%)</w:t>
      </w:r>
      <w:r>
        <w:rPr>
          <w:sz w:val="20"/>
        </w:rPr>
        <w:t xml:space="preserve">; </w:t>
      </w:r>
      <w:r w:rsidRPr="005D6B96">
        <w:rPr>
          <w:sz w:val="20"/>
        </w:rPr>
        <w:t>5 – działalność społeczn</w:t>
      </w:r>
      <w:r>
        <w:rPr>
          <w:sz w:val="20"/>
        </w:rPr>
        <w:t>a</w:t>
      </w:r>
      <w:r w:rsidRPr="005D6B96">
        <w:rPr>
          <w:sz w:val="20"/>
        </w:rPr>
        <w:t xml:space="preserve"> (0,2%)</w:t>
      </w:r>
    </w:p>
    <w:p w:rsidR="00A4346E" w:rsidRPr="00A4346E" w:rsidRDefault="00A4346E" w:rsidP="00A4346E">
      <w:pPr>
        <w:jc w:val="both"/>
        <w:rPr>
          <w:rFonts w:asciiTheme="minorHAnsi" w:hAnsiTheme="minorHAnsi" w:cstheme="minorHAnsi"/>
          <w:sz w:val="22"/>
          <w:szCs w:val="22"/>
        </w:rPr>
      </w:pPr>
      <w:r w:rsidRPr="00A4346E">
        <w:rPr>
          <w:rFonts w:asciiTheme="minorHAnsi" w:hAnsiTheme="minorHAnsi" w:cstheme="minorHAnsi"/>
          <w:sz w:val="22"/>
          <w:szCs w:val="22"/>
        </w:rPr>
        <w:t xml:space="preserve">Uwagę zwraca znikoma reprezentacja wątków związanych z: zajmowaniem się dziećmi (3%) oraz wykonywaniem obowiązków domowych (2%). Istotna </w:t>
      </w:r>
      <w:r w:rsidR="00FC21CF">
        <w:rPr>
          <w:rFonts w:asciiTheme="minorHAnsi" w:hAnsiTheme="minorHAnsi" w:cstheme="minorHAnsi"/>
          <w:sz w:val="22"/>
          <w:szCs w:val="22"/>
        </w:rPr>
        <w:t>była</w:t>
      </w:r>
      <w:r w:rsidRPr="00A4346E">
        <w:rPr>
          <w:rFonts w:asciiTheme="minorHAnsi" w:hAnsiTheme="minorHAnsi" w:cstheme="minorHAnsi"/>
          <w:sz w:val="22"/>
          <w:szCs w:val="22"/>
        </w:rPr>
        <w:t xml:space="preserve"> także praktyczna nieobecność zagadnień związanych z uczestnictwem w kulturze, wypoczynkiem aktywnym i działalnością społeczną (poniżej 1%). </w:t>
      </w:r>
    </w:p>
    <w:p w:rsidR="00D10BB0" w:rsidRPr="002F6EB4" w:rsidRDefault="002F6EB4" w:rsidP="00A4346E">
      <w:p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Część jakościowa</w:t>
      </w:r>
      <w:r w:rsidR="00D10BB0" w:rsidRPr="002F6EB4">
        <w:rPr>
          <w:rFonts w:asciiTheme="minorHAnsi" w:hAnsiTheme="minorHAnsi" w:cstheme="minorHAnsi"/>
          <w:sz w:val="22"/>
        </w:rPr>
        <w:t xml:space="preserve"> analiz</w:t>
      </w:r>
      <w:r>
        <w:rPr>
          <w:rFonts w:asciiTheme="minorHAnsi" w:hAnsiTheme="minorHAnsi" w:cstheme="minorHAnsi"/>
          <w:sz w:val="22"/>
        </w:rPr>
        <w:t>y,</w:t>
      </w:r>
      <w:r w:rsidR="00D10BB0" w:rsidRPr="002F6EB4">
        <w:rPr>
          <w:rFonts w:asciiTheme="minorHAnsi" w:hAnsiTheme="minorHAnsi" w:cstheme="minorHAnsi"/>
          <w:sz w:val="22"/>
        </w:rPr>
        <w:t xml:space="preserve"> wykonana na podstawie notatek i kodowań występujących stereotypów</w:t>
      </w:r>
      <w:r>
        <w:rPr>
          <w:rFonts w:asciiTheme="minorHAnsi" w:hAnsiTheme="minorHAnsi" w:cstheme="minorHAnsi"/>
          <w:sz w:val="22"/>
        </w:rPr>
        <w:t>,</w:t>
      </w:r>
      <w:r w:rsidR="00D10BB0" w:rsidRPr="002F6EB4">
        <w:rPr>
          <w:rFonts w:asciiTheme="minorHAnsi" w:hAnsiTheme="minorHAnsi" w:cstheme="minorHAnsi"/>
          <w:sz w:val="22"/>
        </w:rPr>
        <w:t xml:space="preserve"> zawiera opis ogólnego wzorca prezentacji postaci kobiecych pierwszo- i drugoplanowych w danym serialu i serialach z danego gatunku (dominujące cechy postaci kobiecych, charakter interakcji z postaciami męskimi etc.). Poza tym </w:t>
      </w:r>
      <w:r>
        <w:rPr>
          <w:rFonts w:asciiTheme="minorHAnsi" w:hAnsiTheme="minorHAnsi" w:cstheme="minorHAnsi"/>
          <w:sz w:val="22"/>
        </w:rPr>
        <w:t>znalazło się</w:t>
      </w:r>
      <w:r w:rsidR="00D10BB0" w:rsidRPr="002F6EB4">
        <w:rPr>
          <w:rFonts w:asciiTheme="minorHAnsi" w:hAnsiTheme="minorHAnsi" w:cstheme="minorHAnsi"/>
          <w:sz w:val="22"/>
        </w:rPr>
        <w:t xml:space="preserve"> tu odniesienie do związku ogólnego wzorca prezentacji ze stereotypami dotyczącymi: płci, ról społecznych i ról przypisywanych postaciom kobiecym przez daną konwencję filmową (historyczną, obyczajową, kryminalną, komediową etc.).</w:t>
      </w:r>
    </w:p>
    <w:p w:rsidR="00A4346E" w:rsidRPr="00A4346E" w:rsidRDefault="002F6EB4" w:rsidP="00A434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Aby uchwycić te zależności, p</w:t>
      </w:r>
      <w:r w:rsidR="00A4346E" w:rsidRPr="00A4346E">
        <w:rPr>
          <w:rFonts w:asciiTheme="minorHAnsi" w:hAnsiTheme="minorHAnsi" w:cstheme="minorHAnsi"/>
          <w:sz w:val="22"/>
          <w:szCs w:val="22"/>
        </w:rPr>
        <w:t>rzed przystąpieniem do badania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A4346E" w:rsidRPr="00A4346E">
        <w:rPr>
          <w:rFonts w:asciiTheme="minorHAnsi" w:hAnsiTheme="minorHAnsi" w:cstheme="minorHAnsi"/>
          <w:sz w:val="22"/>
          <w:szCs w:val="22"/>
        </w:rPr>
        <w:t xml:space="preserve"> przygotowano na podstawie literatury i wiedzy eksperckiej listę stereotypów, których następnie poszukiwano w serialach. Lista uwzględniała stereotypy pozytywne (np.: kobieta sukcesu, matka Polka, aktywna seniorka itp.), negatywne (np.: słodka idiotka, kobieta </w:t>
      </w:r>
      <w:proofErr w:type="spellStart"/>
      <w:r w:rsidR="00A4346E" w:rsidRPr="00A4346E">
        <w:rPr>
          <w:rFonts w:asciiTheme="minorHAnsi" w:hAnsiTheme="minorHAnsi" w:cstheme="minorHAnsi"/>
          <w:sz w:val="22"/>
          <w:szCs w:val="22"/>
        </w:rPr>
        <w:t>atechniczna</w:t>
      </w:r>
      <w:proofErr w:type="spellEnd"/>
      <w:r w:rsidR="00A4346E" w:rsidRPr="00A4346E">
        <w:rPr>
          <w:rFonts w:asciiTheme="minorHAnsi" w:hAnsiTheme="minorHAnsi" w:cstheme="minorHAnsi"/>
          <w:sz w:val="22"/>
          <w:szCs w:val="22"/>
        </w:rPr>
        <w:t>, kobieta bluszcz) oraz neutralne lub takie, w przypadku których trudno z góry określić konotację (np.: zbuntowana nastolatka, teściowa, doświadczona matrona).</w:t>
      </w:r>
    </w:p>
    <w:p w:rsidR="00F90F5F" w:rsidRPr="002F6EB4" w:rsidRDefault="002F6EB4" w:rsidP="00F90F5F">
      <w:pPr>
        <w:jc w:val="both"/>
        <w:rPr>
          <w:rFonts w:asciiTheme="minorHAnsi" w:hAnsiTheme="minorHAnsi"/>
          <w:sz w:val="22"/>
          <w:szCs w:val="22"/>
        </w:rPr>
      </w:pPr>
      <w:r w:rsidRPr="002F6EB4">
        <w:rPr>
          <w:rFonts w:asciiTheme="minorHAnsi" w:hAnsiTheme="minorHAnsi"/>
          <w:sz w:val="22"/>
        </w:rPr>
        <w:t>W a</w:t>
      </w:r>
      <w:r>
        <w:rPr>
          <w:rFonts w:asciiTheme="minorHAnsi" w:hAnsiTheme="minorHAnsi"/>
          <w:sz w:val="22"/>
        </w:rPr>
        <w:t>nalizowanych serialach występowały</w:t>
      </w:r>
      <w:r w:rsidRPr="002F6EB4">
        <w:rPr>
          <w:rFonts w:asciiTheme="minorHAnsi" w:hAnsiTheme="minorHAnsi"/>
          <w:sz w:val="22"/>
        </w:rPr>
        <w:t xml:space="preserve"> najważniejsze stereotypy kulturowe dotyczące kobiet.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one na ogół jako bardziej emocjonalne i wrażliwe od mężczyzn. Ich ośrodkiem zainteresowania </w:t>
      </w:r>
      <w:r>
        <w:rPr>
          <w:rFonts w:asciiTheme="minorHAnsi" w:hAnsiTheme="minorHAnsi"/>
          <w:sz w:val="22"/>
        </w:rPr>
        <w:t>była</w:t>
      </w:r>
      <w:r w:rsidRPr="002F6EB4">
        <w:rPr>
          <w:rFonts w:asciiTheme="minorHAnsi" w:hAnsiTheme="minorHAnsi"/>
          <w:sz w:val="22"/>
        </w:rPr>
        <w:t xml:space="preserve"> rodzina i sprawy domowe. Serialowe kobiety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nastawione na budowanie trwałych relacji interpersonalnych zarówno o charakterze erotycznym, jak i przyjacielskich. Mog</w:t>
      </w:r>
      <w:r>
        <w:rPr>
          <w:rFonts w:asciiTheme="minorHAnsi" w:hAnsiTheme="minorHAnsi"/>
          <w:sz w:val="22"/>
        </w:rPr>
        <w:t xml:space="preserve">ły </w:t>
      </w:r>
      <w:r w:rsidRPr="002F6EB4">
        <w:rPr>
          <w:rFonts w:asciiTheme="minorHAnsi" w:hAnsiTheme="minorHAnsi"/>
          <w:sz w:val="22"/>
        </w:rPr>
        <w:t xml:space="preserve">liczyć na inne kobiety – przyjaciółki czy sąsiadki. Jeśli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samotne, nie waha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się poszukiwać nowych partnerów lub wychodzić z inicjatywą. Niekiedy prób</w:t>
      </w:r>
      <w:r>
        <w:rPr>
          <w:rFonts w:asciiTheme="minorHAnsi" w:hAnsiTheme="minorHAnsi"/>
          <w:sz w:val="22"/>
        </w:rPr>
        <w:t>owały</w:t>
      </w:r>
      <w:r w:rsidRPr="002F6EB4">
        <w:rPr>
          <w:rFonts w:asciiTheme="minorHAnsi" w:hAnsiTheme="minorHAnsi"/>
          <w:sz w:val="22"/>
        </w:rPr>
        <w:t xml:space="preserve"> rozbijać cudze związki lub mścić się na byłych partnerach.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także jako osoby aktywne zawodowo. Praca nie przeszkadza</w:t>
      </w:r>
      <w:r>
        <w:rPr>
          <w:rFonts w:asciiTheme="minorHAnsi" w:hAnsiTheme="minorHAnsi"/>
          <w:sz w:val="22"/>
        </w:rPr>
        <w:t>ła</w:t>
      </w:r>
      <w:r w:rsidRPr="002F6EB4">
        <w:rPr>
          <w:rFonts w:asciiTheme="minorHAnsi" w:hAnsiTheme="minorHAnsi"/>
          <w:sz w:val="22"/>
        </w:rPr>
        <w:t xml:space="preserve"> im w zajmowaniu się domem i dziećmi,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bowiem – w przeciwieństwie do mężczyzn – wielozadaniowe. </w:t>
      </w:r>
      <w:r>
        <w:rPr>
          <w:rFonts w:asciiTheme="minorHAnsi" w:hAnsiTheme="minorHAnsi"/>
          <w:sz w:val="22"/>
        </w:rPr>
        <w:t>Jeśli jednak ich ambicje sięgały</w:t>
      </w:r>
      <w:r w:rsidRPr="002F6EB4">
        <w:rPr>
          <w:rFonts w:asciiTheme="minorHAnsi" w:hAnsiTheme="minorHAnsi"/>
          <w:sz w:val="22"/>
        </w:rPr>
        <w:t xml:space="preserve"> zbyt wysoko, cierpi</w:t>
      </w:r>
      <w:r>
        <w:rPr>
          <w:rFonts w:asciiTheme="minorHAnsi" w:hAnsiTheme="minorHAnsi"/>
          <w:sz w:val="22"/>
        </w:rPr>
        <w:t>ało</w:t>
      </w:r>
      <w:r w:rsidRPr="002F6EB4">
        <w:rPr>
          <w:rFonts w:asciiTheme="minorHAnsi" w:hAnsiTheme="minorHAnsi"/>
          <w:sz w:val="22"/>
        </w:rPr>
        <w:t xml:space="preserve"> na tym ich życie prywatne. Wówczas pocieszenia szuka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np. w alkoholu.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w najrozmaitszych rolach zawodowych, zarówno tych tradycyjnie przypisywanych kobietom, jak i w rolach wcześniej zarezerwowanych dla mężczyzn. Narażone na niebezpieczeństwo, wykaz</w:t>
      </w:r>
      <w:r>
        <w:rPr>
          <w:rFonts w:asciiTheme="minorHAnsi" w:hAnsiTheme="minorHAnsi"/>
          <w:sz w:val="22"/>
        </w:rPr>
        <w:t>ywały</w:t>
      </w:r>
      <w:r w:rsidRPr="002F6EB4">
        <w:rPr>
          <w:rFonts w:asciiTheme="minorHAnsi" w:hAnsiTheme="minorHAnsi"/>
          <w:sz w:val="22"/>
        </w:rPr>
        <w:t xml:space="preserve"> się pomysłowością i</w:t>
      </w:r>
      <w:r>
        <w:rPr>
          <w:rFonts w:asciiTheme="minorHAnsi" w:hAnsiTheme="minorHAnsi"/>
          <w:sz w:val="22"/>
        </w:rPr>
        <w:t> </w:t>
      </w:r>
      <w:r w:rsidRPr="002F6EB4">
        <w:rPr>
          <w:rFonts w:asciiTheme="minorHAnsi" w:hAnsiTheme="minorHAnsi"/>
          <w:sz w:val="22"/>
        </w:rPr>
        <w:t>odwagą. Kobiety z jednej strony utrzym</w:t>
      </w:r>
      <w:r>
        <w:rPr>
          <w:rFonts w:asciiTheme="minorHAnsi" w:hAnsiTheme="minorHAnsi"/>
          <w:sz w:val="22"/>
        </w:rPr>
        <w:t>ywały</w:t>
      </w:r>
      <w:r w:rsidRPr="002F6EB4">
        <w:rPr>
          <w:rFonts w:asciiTheme="minorHAnsi" w:hAnsiTheme="minorHAnsi"/>
          <w:sz w:val="22"/>
        </w:rPr>
        <w:t xml:space="preserve"> swoją pozycję w kontekście domu i macierzyństwa, z</w:t>
      </w:r>
      <w:r>
        <w:rPr>
          <w:rFonts w:asciiTheme="minorHAnsi" w:hAnsiTheme="minorHAnsi"/>
          <w:sz w:val="22"/>
        </w:rPr>
        <w:t> </w:t>
      </w:r>
      <w:r w:rsidRPr="002F6EB4">
        <w:rPr>
          <w:rFonts w:asciiTheme="minorHAnsi" w:hAnsiTheme="minorHAnsi"/>
          <w:sz w:val="22"/>
        </w:rPr>
        <w:t>drugiej strony natomiast coraz bardziej przekracza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granice męskiego świata na polu zawodowym.</w:t>
      </w:r>
      <w:r w:rsidR="00F90F5F" w:rsidRPr="002F6EB4">
        <w:rPr>
          <w:rFonts w:asciiTheme="minorHAnsi" w:hAnsiTheme="minorHAnsi"/>
          <w:sz w:val="20"/>
          <w:szCs w:val="22"/>
        </w:rPr>
        <w:t xml:space="preserve"> </w:t>
      </w:r>
    </w:p>
    <w:p w:rsidR="00A4346E" w:rsidRPr="00C73093" w:rsidRDefault="00A4346E" w:rsidP="00A4346E">
      <w:pPr>
        <w:jc w:val="both"/>
        <w:rPr>
          <w:rFonts w:cstheme="minorHAnsi"/>
          <w:sz w:val="28"/>
        </w:rPr>
      </w:pPr>
      <w:r w:rsidRPr="00A4346E">
        <w:rPr>
          <w:rFonts w:asciiTheme="minorHAnsi" w:hAnsiTheme="minorHAnsi"/>
          <w:sz w:val="22"/>
          <w:szCs w:val="22"/>
        </w:rPr>
        <w:t>Seriale rzadko prezent</w:t>
      </w:r>
      <w:r w:rsidR="00FC21CF">
        <w:rPr>
          <w:rFonts w:asciiTheme="minorHAnsi" w:hAnsiTheme="minorHAnsi"/>
          <w:sz w:val="22"/>
          <w:szCs w:val="22"/>
        </w:rPr>
        <w:t>owały</w:t>
      </w:r>
      <w:r w:rsidRPr="00A4346E">
        <w:rPr>
          <w:rFonts w:asciiTheme="minorHAnsi" w:hAnsiTheme="minorHAnsi"/>
          <w:sz w:val="22"/>
          <w:szCs w:val="22"/>
        </w:rPr>
        <w:t xml:space="preserve"> modele rodzin pełnych, nierozbitych i tradycyjnych. Domin</w:t>
      </w:r>
      <w:r w:rsidR="00FC21CF">
        <w:rPr>
          <w:rFonts w:asciiTheme="minorHAnsi" w:hAnsiTheme="minorHAnsi"/>
          <w:sz w:val="22"/>
          <w:szCs w:val="22"/>
        </w:rPr>
        <w:t>owały</w:t>
      </w:r>
      <w:r w:rsidRPr="00A4346E">
        <w:rPr>
          <w:rFonts w:asciiTheme="minorHAnsi" w:hAnsiTheme="minorHAnsi"/>
          <w:sz w:val="22"/>
          <w:szCs w:val="22"/>
        </w:rPr>
        <w:t xml:space="preserve"> związki i rodziny nieformalne, patchworkowe, niepełne, „po przejściach”. Trudno jednak ocenić, czy </w:t>
      </w:r>
      <w:r w:rsidR="00FC21CF">
        <w:rPr>
          <w:rFonts w:asciiTheme="minorHAnsi" w:hAnsiTheme="minorHAnsi"/>
          <w:sz w:val="22"/>
          <w:szCs w:val="22"/>
        </w:rPr>
        <w:t xml:space="preserve">był </w:t>
      </w:r>
      <w:r w:rsidRPr="00A4346E">
        <w:rPr>
          <w:rFonts w:asciiTheme="minorHAnsi" w:hAnsiTheme="minorHAnsi"/>
          <w:sz w:val="22"/>
          <w:szCs w:val="22"/>
        </w:rPr>
        <w:t>to efektem świadomego zamiaru autorskiego, kontekstu historycznego, czy wynika</w:t>
      </w:r>
      <w:r w:rsidR="00FC21CF">
        <w:rPr>
          <w:rFonts w:asciiTheme="minorHAnsi" w:hAnsiTheme="minorHAnsi"/>
          <w:sz w:val="22"/>
          <w:szCs w:val="22"/>
        </w:rPr>
        <w:t>ł</w:t>
      </w:r>
      <w:r w:rsidRPr="00A4346E">
        <w:rPr>
          <w:rFonts w:asciiTheme="minorHAnsi" w:hAnsiTheme="minorHAnsi"/>
          <w:sz w:val="22"/>
          <w:szCs w:val="22"/>
        </w:rPr>
        <w:t xml:space="preserve"> raczej z wymogów skonstruowania wciągającej fabuły lub z rotacji w obsadzie.</w:t>
      </w:r>
    </w:p>
    <w:p w:rsidR="00A4346E" w:rsidRDefault="00A4346E" w:rsidP="00A4346E">
      <w:pPr>
        <w:jc w:val="both"/>
      </w:pPr>
      <w:bookmarkStart w:id="3" w:name="_GoBack"/>
      <w:bookmarkEnd w:id="3"/>
    </w:p>
    <w:sectPr w:rsidR="00A434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B8" w:rsidRDefault="005B15B8" w:rsidP="00F90F5F">
      <w:pPr>
        <w:spacing w:after="0" w:line="240" w:lineRule="auto"/>
      </w:pPr>
      <w:r>
        <w:separator/>
      </w:r>
    </w:p>
  </w:endnote>
  <w:endnote w:type="continuationSeparator" w:id="0">
    <w:p w:rsidR="005B15B8" w:rsidRDefault="005B15B8" w:rsidP="00F9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965130"/>
      <w:docPartObj>
        <w:docPartGallery w:val="Page Numbers (Bottom of Page)"/>
        <w:docPartUnique/>
      </w:docPartObj>
    </w:sdtPr>
    <w:sdtEndPr/>
    <w:sdtContent>
      <w:p w:rsidR="00F90F5F" w:rsidRDefault="00F9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79">
          <w:rPr>
            <w:noProof/>
          </w:rPr>
          <w:t>1</w:t>
        </w:r>
        <w:r>
          <w:fldChar w:fldCharType="end"/>
        </w:r>
      </w:p>
    </w:sdtContent>
  </w:sdt>
  <w:p w:rsidR="00F90F5F" w:rsidRDefault="00F90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B8" w:rsidRDefault="005B15B8" w:rsidP="00F90F5F">
      <w:pPr>
        <w:spacing w:after="0" w:line="240" w:lineRule="auto"/>
      </w:pPr>
      <w:r>
        <w:separator/>
      </w:r>
    </w:p>
  </w:footnote>
  <w:footnote w:type="continuationSeparator" w:id="0">
    <w:p w:rsidR="005B15B8" w:rsidRDefault="005B15B8" w:rsidP="00F9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346F"/>
    <w:multiLevelType w:val="hybridMultilevel"/>
    <w:tmpl w:val="651C6F98"/>
    <w:lvl w:ilvl="0" w:tplc="8F565CBE">
      <w:start w:val="1"/>
      <w:numFmt w:val="decimal"/>
      <w:pStyle w:val="Wykres"/>
      <w:lvlText w:val="Wykres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08C6"/>
    <w:multiLevelType w:val="hybridMultilevel"/>
    <w:tmpl w:val="82C6828C"/>
    <w:lvl w:ilvl="0" w:tplc="DD9E71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6E"/>
    <w:rsid w:val="00264B71"/>
    <w:rsid w:val="002F6EB4"/>
    <w:rsid w:val="005938B2"/>
    <w:rsid w:val="005B15B8"/>
    <w:rsid w:val="00792A3F"/>
    <w:rsid w:val="008E7879"/>
    <w:rsid w:val="00A4346E"/>
    <w:rsid w:val="00C216DE"/>
    <w:rsid w:val="00D10BB0"/>
    <w:rsid w:val="00F90F5F"/>
    <w:rsid w:val="00FC21CF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46E"/>
    <w:pPr>
      <w:spacing w:after="120"/>
    </w:pPr>
    <w:rPr>
      <w:rFonts w:ascii="Myriad Pro" w:eastAsia="MS Mincho" w:hAnsi="Myriad Pro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6E"/>
    <w:pPr>
      <w:ind w:left="720"/>
      <w:contextualSpacing/>
    </w:pPr>
  </w:style>
  <w:style w:type="paragraph" w:customStyle="1" w:styleId="Wykres">
    <w:name w:val="Wykres"/>
    <w:basedOn w:val="Normalny"/>
    <w:link w:val="WykresZnak"/>
    <w:qFormat/>
    <w:rsid w:val="00A4346E"/>
    <w:pPr>
      <w:keepNext/>
      <w:keepLines/>
      <w:numPr>
        <w:numId w:val="2"/>
      </w:numPr>
      <w:tabs>
        <w:tab w:val="left" w:pos="993"/>
      </w:tabs>
      <w:spacing w:after="0" w:line="360" w:lineRule="auto"/>
      <w:jc w:val="both"/>
    </w:pPr>
    <w:rPr>
      <w:rFonts w:ascii="Times New Roman" w:eastAsiaTheme="minorHAnsi" w:hAnsi="Times New Roman"/>
      <w:b/>
      <w:sz w:val="22"/>
      <w:szCs w:val="22"/>
      <w:lang w:eastAsia="en-US"/>
    </w:rPr>
  </w:style>
  <w:style w:type="character" w:customStyle="1" w:styleId="WykresZnak">
    <w:name w:val="Wykres Znak"/>
    <w:basedOn w:val="Domylnaczcionkaakapitu"/>
    <w:link w:val="Wykres"/>
    <w:rsid w:val="00A4346E"/>
    <w:rPr>
      <w:rFonts w:ascii="Times New Roman" w:hAnsi="Times New Roman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46E"/>
    <w:rPr>
      <w:rFonts w:ascii="Tahoma" w:eastAsia="MS Mincho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customStyle="1" w:styleId="Default">
    <w:name w:val="Default"/>
    <w:rsid w:val="002F6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46E"/>
    <w:pPr>
      <w:spacing w:after="120"/>
    </w:pPr>
    <w:rPr>
      <w:rFonts w:ascii="Myriad Pro" w:eastAsia="MS Mincho" w:hAnsi="Myriad Pro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6E"/>
    <w:pPr>
      <w:ind w:left="720"/>
      <w:contextualSpacing/>
    </w:pPr>
  </w:style>
  <w:style w:type="paragraph" w:customStyle="1" w:styleId="Wykres">
    <w:name w:val="Wykres"/>
    <w:basedOn w:val="Normalny"/>
    <w:link w:val="WykresZnak"/>
    <w:qFormat/>
    <w:rsid w:val="00A4346E"/>
    <w:pPr>
      <w:keepNext/>
      <w:keepLines/>
      <w:numPr>
        <w:numId w:val="2"/>
      </w:numPr>
      <w:tabs>
        <w:tab w:val="left" w:pos="993"/>
      </w:tabs>
      <w:spacing w:after="0" w:line="360" w:lineRule="auto"/>
      <w:jc w:val="both"/>
    </w:pPr>
    <w:rPr>
      <w:rFonts w:ascii="Times New Roman" w:eastAsiaTheme="minorHAnsi" w:hAnsi="Times New Roman"/>
      <w:b/>
      <w:sz w:val="22"/>
      <w:szCs w:val="22"/>
      <w:lang w:eastAsia="en-US"/>
    </w:rPr>
  </w:style>
  <w:style w:type="character" w:customStyle="1" w:styleId="WykresZnak">
    <w:name w:val="Wykres Znak"/>
    <w:basedOn w:val="Domylnaczcionkaakapitu"/>
    <w:link w:val="Wykres"/>
    <w:rsid w:val="00A4346E"/>
    <w:rPr>
      <w:rFonts w:ascii="Times New Roman" w:hAnsi="Times New Roman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46E"/>
    <w:rPr>
      <w:rFonts w:ascii="Tahoma" w:eastAsia="MS Mincho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customStyle="1" w:styleId="Default">
    <w:name w:val="Default"/>
    <w:rsid w:val="002F6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czas wypowiedzi</c:v>
                </c:pt>
              </c:strCache>
            </c:strRef>
          </c:tx>
          <c:dPt>
            <c:idx val="0"/>
            <c:bubble3D val="0"/>
            <c:spPr>
              <a:solidFill>
                <a:srgbClr val="4472C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B7-4B1C-ACE1-63B83C7F9BF5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B7-4B1C-ACE1-63B83C7F9BF5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B7-4B1C-ACE1-63B83C7F9BF5}"/>
              </c:ext>
            </c:extLst>
          </c:dPt>
          <c:dPt>
            <c:idx val="3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B7-4B1C-ACE1-63B83C7F9BF5}"/>
              </c:ext>
            </c:extLst>
          </c:dPt>
          <c:dLbls>
            <c:dLbl>
              <c:idx val="3"/>
              <c:layout>
                <c:manualLayout>
                  <c:x val="-0.10773966578715942"/>
                  <c:y val="-0.14285714285714307"/>
                </c:manualLayout>
              </c:layout>
              <c:numFmt formatCode="0.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B7-4B1C-ACE1-63B83C7F9B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kobiety</c:v>
                </c:pt>
                <c:pt idx="1">
                  <c:v>mężczyźni</c:v>
                </c:pt>
                <c:pt idx="2">
                  <c:v>nie-mowa</c:v>
                </c:pt>
                <c:pt idx="3">
                  <c:v>inne</c:v>
                </c:pt>
              </c:strCache>
            </c:strRef>
          </c:cat>
          <c:val>
            <c:numRef>
              <c:f>Arkusz1!$B$2:$B$5</c:f>
              <c:numCache>
                <c:formatCode>[h]:mm:ss;@</c:formatCode>
                <c:ptCount val="4"/>
                <c:pt idx="0">
                  <c:v>0.73444444444444457</c:v>
                </c:pt>
                <c:pt idx="1">
                  <c:v>0.61966435185185254</c:v>
                </c:pt>
                <c:pt idx="2">
                  <c:v>0.58953703703703708</c:v>
                </c:pt>
                <c:pt idx="3">
                  <c:v>9.4907407407407354E-3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9B7-4B1C-ACE1-63B83C7F9B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0"/>
      </c:doughnut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9D-4843-9E52-E953212B52E5}"/>
              </c:ext>
            </c:extLst>
          </c:dPt>
          <c:dPt>
            <c:idx val="2"/>
            <c:invertIfNegative val="0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9D-4843-9E52-E953212B52E5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9D-4843-9E52-E953212B52E5}"/>
              </c:ext>
            </c:extLst>
          </c:dPt>
          <c:dPt>
            <c:idx val="4"/>
            <c:invertIfNegative val="0"/>
            <c:bubble3D val="0"/>
            <c:spPr>
              <a:pattFill prst="wdDnDiag">
                <a:fgClr>
                  <a:schemeClr val="bg1">
                    <a:lumMod val="8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99D-4843-9E52-E953212B52E5}"/>
              </c:ext>
            </c:extLst>
          </c:dPt>
          <c:dPt>
            <c:idx val="5"/>
            <c:invertIfNegative val="0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99D-4843-9E52-E953212B52E5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99D-4843-9E52-E953212B52E5}"/>
              </c:ext>
            </c:extLst>
          </c:dPt>
          <c:dPt>
            <c:idx val="7"/>
            <c:invertIfNegative val="0"/>
            <c:bubble3D val="0"/>
            <c:spPr>
              <a:pattFill prst="wdUpDiag">
                <a:fgClr>
                  <a:schemeClr val="bg1">
                    <a:lumMod val="8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99D-4843-9E52-E953212B52E5}"/>
              </c:ext>
            </c:extLst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99D-4843-9E52-E953212B52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Arkusz1!$A$2:$B$10</c:f>
              <c:multiLvlStrCache>
                <c:ptCount val="9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żeńska</c:v>
                  </c:pt>
                  <c:pt idx="3">
                    <c:v>męska</c:v>
                  </c:pt>
                  <c:pt idx="4">
                    <c:v>mieszana</c:v>
                  </c:pt>
                  <c:pt idx="5">
                    <c:v>kobieta</c:v>
                  </c:pt>
                  <c:pt idx="6">
                    <c:v>mężczyzna</c:v>
                  </c:pt>
                  <c:pt idx="7">
                    <c:v>mieszana</c:v>
                  </c:pt>
                  <c:pt idx="8">
                    <c:v>nie-ludzie</c:v>
                  </c:pt>
                </c:lvl>
                <c:lvl>
                  <c:pt idx="0">
                    <c:v>pojedyncze</c:v>
                  </c:pt>
                  <c:pt idx="2">
                    <c:v>diady</c:v>
                  </c:pt>
                  <c:pt idx="5">
                    <c:v>grupy</c:v>
                  </c:pt>
                  <c:pt idx="8">
                    <c:v> </c:v>
                  </c:pt>
                </c:lvl>
              </c:multiLvlStrCache>
            </c:multiLvlStrRef>
          </c:cat>
          <c:val>
            <c:numRef>
              <c:f>Arkusz1!$C$2:$C$10</c:f>
              <c:numCache>
                <c:formatCode>0%</c:formatCode>
                <c:ptCount val="9"/>
                <c:pt idx="0">
                  <c:v>0.25998068159596099</c:v>
                </c:pt>
                <c:pt idx="1">
                  <c:v>0.21312466296496008</c:v>
                </c:pt>
                <c:pt idx="2">
                  <c:v>9.141871751871096E-2</c:v>
                </c:pt>
                <c:pt idx="3">
                  <c:v>5.3587830590633573E-2</c:v>
                </c:pt>
                <c:pt idx="4">
                  <c:v>0.19775882809583359</c:v>
                </c:pt>
                <c:pt idx="5">
                  <c:v>1.7090269094701651E-2</c:v>
                </c:pt>
                <c:pt idx="6">
                  <c:v>1.5798424898222817E-2</c:v>
                </c:pt>
                <c:pt idx="7">
                  <c:v>0.10002903686496672</c:v>
                </c:pt>
                <c:pt idx="8">
                  <c:v>5.121154837600965E-2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99D-4843-9E52-E953212B52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7347200"/>
        <c:axId val="3870361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Arkusz1!$D$1</c15:sqref>
                        </c15:formulaRef>
                      </c:ext>
                    </c:extLst>
                    <c:strCache>
                      <c:ptCount val="1"/>
                      <c:pt idx="0">
                        <c:v>Kolumna12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 w="19050">
                    <a:solidFill>
                      <a:schemeClr val="lt1"/>
                    </a:solidFill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Arkusz1!$A$2:$B$10</c15:sqref>
                        </c15:formulaRef>
                      </c:ext>
                    </c:extLst>
                    <c:multiLvlStrCache>
                      <c:ptCount val="9"/>
                      <c:lvl>
                        <c:pt idx="0">
                          <c:v>kobieta</c:v>
                        </c:pt>
                        <c:pt idx="1">
                          <c:v>mężczyzna</c:v>
                        </c:pt>
                        <c:pt idx="2">
                          <c:v>żeńska</c:v>
                        </c:pt>
                        <c:pt idx="3">
                          <c:v>męska</c:v>
                        </c:pt>
                        <c:pt idx="4">
                          <c:v>mieszana</c:v>
                        </c:pt>
                        <c:pt idx="5">
                          <c:v>kobieta</c:v>
                        </c:pt>
                        <c:pt idx="6">
                          <c:v>mężczyzna</c:v>
                        </c:pt>
                        <c:pt idx="7">
                          <c:v>mieszana</c:v>
                        </c:pt>
                        <c:pt idx="8">
                          <c:v>nie-ludzie</c:v>
                        </c:pt>
                      </c:lvl>
                      <c:lvl>
                        <c:pt idx="0">
                          <c:v>pojedyncze</c:v>
                        </c:pt>
                        <c:pt idx="2">
                          <c:v>diady</c:v>
                        </c:pt>
                        <c:pt idx="5">
                          <c:v>grupy</c:v>
                        </c:pt>
                        <c:pt idx="8">
                          <c:v> 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Arkusz1!$D$2:$D$10</c15:sqref>
                        </c15:formulaRef>
                      </c:ext>
                    </c:extLst>
                    <c:numCache>
                      <c:formatCode>0%</c:formatCode>
                      <c:ptCount val="9"/>
                      <c:pt idx="0">
                        <c:v>0.25998068159596099</c:v>
                      </c:pt>
                      <c:pt idx="1">
                        <c:v>0.21312466296496008</c:v>
                      </c:pt>
                      <c:pt idx="2">
                        <c:v>9.141871751871096E-2</c:v>
                      </c:pt>
                      <c:pt idx="3">
                        <c:v>5.3587830590633573E-2</c:v>
                      </c:pt>
                      <c:pt idx="4">
                        <c:v>0.19775882809583359</c:v>
                      </c:pt>
                      <c:pt idx="5">
                        <c:v>1.7090269094701651E-2</c:v>
                      </c:pt>
                      <c:pt idx="6">
                        <c:v>1.5798424898222817E-2</c:v>
                      </c:pt>
                      <c:pt idx="7">
                        <c:v>0.10002903686496672</c:v>
                      </c:pt>
                      <c:pt idx="8">
                        <c:v>5.121154837600965E-2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999D-4843-9E52-E953212B52E5}"/>
                  </c:ext>
                </c:extLst>
              </c15:ser>
            </c15:filteredBarSeries>
          </c:ext>
        </c:extLst>
      </c:barChart>
      <c:catAx>
        <c:axId val="473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703616"/>
        <c:crosses val="autoZero"/>
        <c:auto val="1"/>
        <c:lblAlgn val="ctr"/>
        <c:lblOffset val="100"/>
        <c:noMultiLvlLbl val="0"/>
      </c:catAx>
      <c:valAx>
        <c:axId val="3870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34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0.65699</cdr:x>
      <cdr:y>0.07857</cdr:y>
    </cdr:from>
    <cdr:to>
      <cdr:x>0.98945</cdr:x>
      <cdr:y>0.37857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794760" y="251460"/>
          <a:ext cx="1920240" cy="960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1050"/>
            <a:t>Relacja ekspozycji</a:t>
          </a:r>
          <a:r>
            <a:rPr lang="pl-PL" sz="1050" baseline="0"/>
            <a:t> czynnej kobiet w stosunku do ekspozycji czynnej mężczyzn:</a:t>
          </a:r>
          <a:br>
            <a:rPr lang="pl-PL" sz="1050" baseline="0"/>
          </a:br>
          <a:r>
            <a:rPr lang="pl-PL" sz="1800" b="1" baseline="0"/>
            <a:t> 1,19</a:t>
          </a:r>
          <a:endParaRPr lang="pl-PL" sz="1050" b="1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 Rafal</dc:creator>
  <cp:lastModifiedBy>Swiatek Rafal</cp:lastModifiedBy>
  <cp:revision>3</cp:revision>
  <dcterms:created xsi:type="dcterms:W3CDTF">2020-04-17T11:31:00Z</dcterms:created>
  <dcterms:modified xsi:type="dcterms:W3CDTF">2020-04-17T11:53:00Z</dcterms:modified>
</cp:coreProperties>
</file>