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3FD3" w14:textId="62B61AFC" w:rsidR="00DC13EE" w:rsidRPr="000F69F1" w:rsidRDefault="00296117" w:rsidP="000F69F1">
      <w:pPr>
        <w:spacing w:after="120" w:line="276" w:lineRule="auto"/>
        <w:jc w:val="center"/>
        <w:rPr>
          <w:rFonts w:asciiTheme="minorHAnsi" w:hAnsiTheme="minorHAnsi" w:cstheme="minorHAnsi"/>
          <w:b/>
          <w:bCs/>
        </w:rPr>
      </w:pPr>
      <w:r w:rsidRPr="000F69F1">
        <w:rPr>
          <w:rFonts w:asciiTheme="minorHAnsi" w:hAnsiTheme="minorHAnsi" w:cstheme="minorHAnsi"/>
          <w:b/>
          <w:bCs/>
        </w:rPr>
        <w:t xml:space="preserve">Informacja na temat </w:t>
      </w:r>
      <w:r w:rsidR="00806C58">
        <w:rPr>
          <w:rFonts w:asciiTheme="minorHAnsi" w:hAnsiTheme="minorHAnsi" w:cstheme="minorHAnsi"/>
          <w:b/>
          <w:bCs/>
        </w:rPr>
        <w:t>poszerzenia zakresu D</w:t>
      </w:r>
      <w:r w:rsidR="006A3FE4" w:rsidRPr="000F69F1">
        <w:rPr>
          <w:rFonts w:asciiTheme="minorHAnsi" w:hAnsiTheme="minorHAnsi" w:cstheme="minorHAnsi"/>
          <w:b/>
          <w:bCs/>
        </w:rPr>
        <w:t>yrektywy o audiowizualnych usługach medialnych</w:t>
      </w:r>
      <w:r w:rsidR="004B4CD0">
        <w:rPr>
          <w:rFonts w:asciiTheme="minorHAnsi" w:hAnsiTheme="minorHAnsi" w:cstheme="minorHAnsi"/>
          <w:b/>
          <w:bCs/>
        </w:rPr>
        <w:br/>
      </w:r>
      <w:r w:rsidR="006A3FE4" w:rsidRPr="000F69F1">
        <w:rPr>
          <w:rFonts w:asciiTheme="minorHAnsi" w:hAnsiTheme="minorHAnsi" w:cstheme="minorHAnsi"/>
          <w:b/>
          <w:bCs/>
        </w:rPr>
        <w:t xml:space="preserve"> o </w:t>
      </w:r>
      <w:r w:rsidRPr="000F69F1">
        <w:rPr>
          <w:rFonts w:asciiTheme="minorHAnsi" w:hAnsiTheme="minorHAnsi" w:cstheme="minorHAnsi"/>
          <w:b/>
          <w:bCs/>
        </w:rPr>
        <w:t>usług</w:t>
      </w:r>
      <w:r w:rsidR="006A3FE4" w:rsidRPr="000F69F1">
        <w:rPr>
          <w:rFonts w:asciiTheme="minorHAnsi" w:hAnsiTheme="minorHAnsi" w:cstheme="minorHAnsi"/>
          <w:b/>
          <w:bCs/>
        </w:rPr>
        <w:t>i</w:t>
      </w:r>
      <w:r w:rsidRPr="000F69F1">
        <w:rPr>
          <w:rFonts w:asciiTheme="minorHAnsi" w:hAnsiTheme="minorHAnsi" w:cstheme="minorHAnsi"/>
          <w:b/>
          <w:bCs/>
        </w:rPr>
        <w:t xml:space="preserve"> platform udostępniania wideo </w:t>
      </w:r>
    </w:p>
    <w:p w14:paraId="7E0F4070" w14:textId="77777777" w:rsidR="00296117" w:rsidRPr="000F69F1" w:rsidRDefault="00296117" w:rsidP="000F69F1">
      <w:pPr>
        <w:spacing w:after="120" w:line="276" w:lineRule="auto"/>
        <w:jc w:val="center"/>
        <w:rPr>
          <w:rFonts w:asciiTheme="minorHAnsi" w:hAnsiTheme="minorHAnsi" w:cstheme="minorHAnsi"/>
          <w:b/>
          <w:bCs/>
        </w:rPr>
      </w:pPr>
    </w:p>
    <w:p w14:paraId="2A281122" w14:textId="7B90E670" w:rsidR="000F69F1" w:rsidRPr="000F69F1" w:rsidRDefault="006A3FE4" w:rsidP="006328C6">
      <w:pPr>
        <w:spacing w:after="120" w:line="276" w:lineRule="auto"/>
        <w:jc w:val="both"/>
        <w:rPr>
          <w:rFonts w:asciiTheme="minorHAnsi" w:hAnsiTheme="minorHAnsi" w:cstheme="minorHAnsi"/>
        </w:rPr>
      </w:pPr>
      <w:r w:rsidRPr="000F69F1">
        <w:rPr>
          <w:rFonts w:asciiTheme="minorHAnsi" w:hAnsiTheme="minorHAnsi" w:cstheme="minorHAnsi"/>
        </w:rPr>
        <w:t xml:space="preserve">Usługi platform udostępniania wideo (zwane dalej „VSP”) zostały objęte przepisami </w:t>
      </w:r>
      <w:r w:rsidR="00DC13EE" w:rsidRPr="000F69F1">
        <w:rPr>
          <w:rFonts w:asciiTheme="minorHAnsi" w:hAnsiTheme="minorHAnsi" w:cstheme="minorHAnsi"/>
        </w:rPr>
        <w:t>Dyrektyw</w:t>
      </w:r>
      <w:r w:rsidRPr="000F69F1">
        <w:rPr>
          <w:rFonts w:asciiTheme="minorHAnsi" w:hAnsiTheme="minorHAnsi" w:cstheme="minorHAnsi"/>
        </w:rPr>
        <w:t>y</w:t>
      </w:r>
      <w:r w:rsidR="00DC13EE" w:rsidRPr="000F69F1">
        <w:rPr>
          <w:rFonts w:asciiTheme="minorHAnsi" w:hAnsiTheme="minorHAnsi" w:cstheme="minorHAnsi"/>
        </w:rPr>
        <w:t xml:space="preserve"> Parlamentu Europejskiego i Rady (UE) 2018/1808 z dnia 14 listopada 2018 r. zmieniając</w:t>
      </w:r>
      <w:r w:rsidR="0026538E">
        <w:rPr>
          <w:rFonts w:asciiTheme="minorHAnsi" w:hAnsiTheme="minorHAnsi" w:cstheme="minorHAnsi"/>
        </w:rPr>
        <w:t>ej</w:t>
      </w:r>
      <w:r w:rsidR="00806C58">
        <w:rPr>
          <w:rFonts w:asciiTheme="minorHAnsi" w:hAnsiTheme="minorHAnsi" w:cstheme="minorHAnsi"/>
        </w:rPr>
        <w:t xml:space="preserve"> D</w:t>
      </w:r>
      <w:r w:rsidR="00DC13EE" w:rsidRPr="000F69F1">
        <w:rPr>
          <w:rFonts w:asciiTheme="minorHAnsi" w:hAnsiTheme="minorHAnsi" w:cstheme="minorHAnsi"/>
        </w:rPr>
        <w:t>yrektywę 2010/13/UE w sprawie koordynacji niektórych przepisów ustawowych, wykonawczych i administracyjnych państw członkowskich dotyczących świadczenia audiowizualny</w:t>
      </w:r>
      <w:r w:rsidR="00806C58">
        <w:rPr>
          <w:rFonts w:asciiTheme="minorHAnsi" w:hAnsiTheme="minorHAnsi" w:cstheme="minorHAnsi"/>
        </w:rPr>
        <w:t>ch usług medialnych (D</w:t>
      </w:r>
      <w:r w:rsidR="00DC13EE" w:rsidRPr="000F69F1">
        <w:rPr>
          <w:rFonts w:asciiTheme="minorHAnsi" w:hAnsiTheme="minorHAnsi" w:cstheme="minorHAnsi"/>
        </w:rPr>
        <w:t>yrektywa o audiowizualnych usługach medialnych</w:t>
      </w:r>
      <w:r w:rsidR="00806C58">
        <w:rPr>
          <w:rFonts w:asciiTheme="minorHAnsi" w:hAnsiTheme="minorHAnsi" w:cstheme="minorHAnsi"/>
        </w:rPr>
        <w:t>, dalej</w:t>
      </w:r>
      <w:r w:rsidR="0026538E">
        <w:rPr>
          <w:rFonts w:asciiTheme="minorHAnsi" w:hAnsiTheme="minorHAnsi" w:cstheme="minorHAnsi"/>
        </w:rPr>
        <w:t xml:space="preserve"> </w:t>
      </w:r>
      <w:r w:rsidR="00806C58">
        <w:rPr>
          <w:rFonts w:asciiTheme="minorHAnsi" w:hAnsiTheme="minorHAnsi" w:cstheme="minorHAnsi"/>
        </w:rPr>
        <w:t>„</w:t>
      </w:r>
      <w:r w:rsidR="0026538E">
        <w:rPr>
          <w:rFonts w:asciiTheme="minorHAnsi" w:hAnsiTheme="minorHAnsi" w:cstheme="minorHAnsi"/>
        </w:rPr>
        <w:t>DAUM</w:t>
      </w:r>
      <w:r w:rsidR="00806C58">
        <w:rPr>
          <w:rFonts w:asciiTheme="minorHAnsi" w:hAnsiTheme="minorHAnsi" w:cstheme="minorHAnsi"/>
        </w:rPr>
        <w:t>”</w:t>
      </w:r>
      <w:r w:rsidR="00DC13EE" w:rsidRPr="000F69F1">
        <w:rPr>
          <w:rFonts w:asciiTheme="minorHAnsi" w:hAnsiTheme="minorHAnsi" w:cstheme="minorHAnsi"/>
        </w:rPr>
        <w:t>)</w:t>
      </w:r>
      <w:r w:rsidR="0026538E">
        <w:rPr>
          <w:rFonts w:asciiTheme="minorHAnsi" w:hAnsiTheme="minorHAnsi" w:cstheme="minorHAnsi"/>
        </w:rPr>
        <w:t xml:space="preserve">.  </w:t>
      </w:r>
      <w:r w:rsidR="000F69F1" w:rsidRPr="000F69F1">
        <w:rPr>
          <w:rFonts w:asciiTheme="minorHAnsi" w:hAnsiTheme="minorHAnsi" w:cstheme="minorHAnsi"/>
        </w:rPr>
        <w:t xml:space="preserve">Na mocy art. 2 DAUM państwa członkowskie UE, w tym Polska, zostały zobowiązane do transpozycji do prawa krajowego przepisów tej dyrektywy w terminie do 19 września 2020 r. </w:t>
      </w:r>
    </w:p>
    <w:p w14:paraId="5E261659" w14:textId="77777777" w:rsidR="00D32E7E" w:rsidRPr="006328C6" w:rsidRDefault="000F69F1" w:rsidP="006328C6">
      <w:pPr>
        <w:spacing w:after="120" w:line="276" w:lineRule="auto"/>
        <w:jc w:val="both"/>
        <w:rPr>
          <w:rFonts w:asciiTheme="minorHAnsi" w:hAnsiTheme="minorHAnsi" w:cstheme="minorHAnsi"/>
          <w:u w:val="single"/>
        </w:rPr>
      </w:pPr>
      <w:r w:rsidRPr="006328C6">
        <w:rPr>
          <w:rFonts w:asciiTheme="minorHAnsi" w:hAnsiTheme="minorHAnsi" w:cstheme="minorHAnsi"/>
          <w:u w:val="single"/>
        </w:rPr>
        <w:t>Definicja usług VSP</w:t>
      </w:r>
    </w:p>
    <w:p w14:paraId="76343BBB" w14:textId="0A16ED7C" w:rsidR="00296117" w:rsidRPr="000F69F1" w:rsidRDefault="00D32E7E" w:rsidP="006328C6">
      <w:pPr>
        <w:spacing w:after="120" w:line="276" w:lineRule="auto"/>
        <w:jc w:val="both"/>
        <w:rPr>
          <w:rFonts w:asciiTheme="minorHAnsi" w:hAnsiTheme="minorHAnsi" w:cstheme="minorHAnsi"/>
        </w:rPr>
      </w:pPr>
      <w:r w:rsidRPr="000F69F1">
        <w:rPr>
          <w:rFonts w:asciiTheme="minorHAnsi" w:hAnsiTheme="minorHAnsi" w:cstheme="minorHAnsi"/>
        </w:rPr>
        <w:t xml:space="preserve">Zgodnie z definicją </w:t>
      </w:r>
      <w:r w:rsidR="006A3FE4" w:rsidRPr="000F69F1">
        <w:rPr>
          <w:rFonts w:asciiTheme="minorHAnsi" w:hAnsiTheme="minorHAnsi" w:cstheme="minorHAnsi"/>
        </w:rPr>
        <w:t xml:space="preserve">zawartą w </w:t>
      </w:r>
      <w:r w:rsidRPr="000F69F1">
        <w:rPr>
          <w:rFonts w:asciiTheme="minorHAnsi" w:hAnsiTheme="minorHAnsi" w:cstheme="minorHAnsi"/>
        </w:rPr>
        <w:t>art. 1 ust. 1 lit. aa DAUM</w:t>
      </w:r>
      <w:r w:rsidR="006A3FE4" w:rsidRPr="000F69F1">
        <w:rPr>
          <w:rFonts w:asciiTheme="minorHAnsi" w:hAnsiTheme="minorHAnsi" w:cstheme="minorHAnsi"/>
        </w:rPr>
        <w:t xml:space="preserve">, </w:t>
      </w:r>
      <w:r w:rsidR="000F69F1" w:rsidRPr="000F69F1">
        <w:rPr>
          <w:rFonts w:asciiTheme="minorHAnsi" w:hAnsiTheme="minorHAnsi" w:cstheme="minorHAnsi"/>
        </w:rPr>
        <w:t xml:space="preserve">usługą VSP jest </w:t>
      </w:r>
      <w:r w:rsidRPr="000F69F1">
        <w:rPr>
          <w:rFonts w:asciiTheme="minorHAnsi" w:hAnsiTheme="minorHAnsi" w:cstheme="minorHAnsi"/>
          <w:b/>
          <w:bCs/>
        </w:rPr>
        <w:t>usług</w:t>
      </w:r>
      <w:r w:rsidR="000F69F1" w:rsidRPr="000F69F1">
        <w:rPr>
          <w:rFonts w:asciiTheme="minorHAnsi" w:hAnsiTheme="minorHAnsi" w:cstheme="minorHAnsi"/>
          <w:b/>
          <w:bCs/>
        </w:rPr>
        <w:t>a</w:t>
      </w:r>
      <w:r w:rsidRPr="000F69F1">
        <w:rPr>
          <w:rFonts w:asciiTheme="minorHAnsi" w:hAnsiTheme="minorHAnsi" w:cstheme="minorHAnsi"/>
          <w:b/>
          <w:bCs/>
        </w:rPr>
        <w:t xml:space="preserve">, </w:t>
      </w:r>
      <w:r w:rsidR="00296117" w:rsidRPr="000F69F1">
        <w:rPr>
          <w:rFonts w:asciiTheme="minorHAnsi" w:hAnsiTheme="minorHAnsi" w:cstheme="minorHAnsi"/>
          <w:b/>
          <w:bCs/>
        </w:rPr>
        <w:t>któr</w:t>
      </w:r>
      <w:r w:rsidR="000F69F1" w:rsidRPr="000F69F1">
        <w:rPr>
          <w:rFonts w:asciiTheme="minorHAnsi" w:hAnsiTheme="minorHAnsi" w:cstheme="minorHAnsi"/>
          <w:b/>
          <w:bCs/>
        </w:rPr>
        <w:t xml:space="preserve">ej </w:t>
      </w:r>
      <w:r w:rsidR="00296117" w:rsidRPr="000F69F1">
        <w:rPr>
          <w:rFonts w:asciiTheme="minorHAnsi" w:hAnsiTheme="minorHAnsi" w:cstheme="minorHAnsi"/>
          <w:b/>
          <w:bCs/>
        </w:rPr>
        <w:t xml:space="preserve">podstawowy cel lub </w:t>
      </w:r>
      <w:r w:rsidRPr="000F69F1">
        <w:rPr>
          <w:rFonts w:asciiTheme="minorHAnsi" w:hAnsiTheme="minorHAnsi" w:cstheme="minorHAnsi"/>
          <w:b/>
          <w:bCs/>
        </w:rPr>
        <w:t xml:space="preserve">jej </w:t>
      </w:r>
      <w:r w:rsidR="00296117" w:rsidRPr="000F69F1">
        <w:rPr>
          <w:rFonts w:asciiTheme="minorHAnsi" w:hAnsiTheme="minorHAnsi" w:cstheme="minorHAnsi"/>
          <w:b/>
          <w:bCs/>
        </w:rPr>
        <w:t xml:space="preserve">dającej się oddzielić części lub też </w:t>
      </w:r>
      <w:r w:rsidR="00DC13EE" w:rsidRPr="000F69F1">
        <w:rPr>
          <w:rFonts w:asciiTheme="minorHAnsi" w:hAnsiTheme="minorHAnsi" w:cstheme="minorHAnsi"/>
          <w:b/>
          <w:bCs/>
        </w:rPr>
        <w:t>zasadnicz</w:t>
      </w:r>
      <w:r w:rsidR="006A3FE4" w:rsidRPr="000F69F1">
        <w:rPr>
          <w:rFonts w:asciiTheme="minorHAnsi" w:hAnsiTheme="minorHAnsi" w:cstheme="minorHAnsi"/>
          <w:b/>
          <w:bCs/>
        </w:rPr>
        <w:t>a</w:t>
      </w:r>
      <w:r w:rsidR="00DC13EE" w:rsidRPr="000F69F1">
        <w:rPr>
          <w:rFonts w:asciiTheme="minorHAnsi" w:hAnsiTheme="minorHAnsi" w:cstheme="minorHAnsi"/>
          <w:b/>
          <w:bCs/>
        </w:rPr>
        <w:t xml:space="preserve"> funkcj</w:t>
      </w:r>
      <w:r w:rsidR="006A3FE4" w:rsidRPr="000F69F1">
        <w:rPr>
          <w:rFonts w:asciiTheme="minorHAnsi" w:hAnsiTheme="minorHAnsi" w:cstheme="minorHAnsi"/>
          <w:b/>
          <w:bCs/>
        </w:rPr>
        <w:t>a</w:t>
      </w:r>
      <w:r w:rsidR="00296117" w:rsidRPr="000F69F1">
        <w:rPr>
          <w:rFonts w:asciiTheme="minorHAnsi" w:hAnsiTheme="minorHAnsi" w:cstheme="minorHAnsi"/>
          <w:b/>
          <w:bCs/>
        </w:rPr>
        <w:t xml:space="preserve"> </w:t>
      </w:r>
      <w:r w:rsidR="006A3FE4" w:rsidRPr="000F69F1">
        <w:rPr>
          <w:rFonts w:asciiTheme="minorHAnsi" w:hAnsiTheme="minorHAnsi" w:cstheme="minorHAnsi"/>
          <w:b/>
          <w:bCs/>
        </w:rPr>
        <w:t xml:space="preserve">polega na </w:t>
      </w:r>
      <w:r w:rsidR="00DC13EE" w:rsidRPr="000F69F1">
        <w:rPr>
          <w:rFonts w:asciiTheme="minorHAnsi" w:hAnsiTheme="minorHAnsi" w:cstheme="minorHAnsi"/>
          <w:b/>
          <w:bCs/>
        </w:rPr>
        <w:t>dostarczani</w:t>
      </w:r>
      <w:r w:rsidR="006A3FE4" w:rsidRPr="000F69F1">
        <w:rPr>
          <w:rFonts w:asciiTheme="minorHAnsi" w:hAnsiTheme="minorHAnsi" w:cstheme="minorHAnsi"/>
          <w:b/>
          <w:bCs/>
        </w:rPr>
        <w:t>u</w:t>
      </w:r>
      <w:r w:rsidR="00DC13EE" w:rsidRPr="000F69F1">
        <w:rPr>
          <w:rFonts w:asciiTheme="minorHAnsi" w:hAnsiTheme="minorHAnsi" w:cstheme="minorHAnsi"/>
          <w:b/>
          <w:bCs/>
        </w:rPr>
        <w:t xml:space="preserve"> </w:t>
      </w:r>
      <w:r w:rsidRPr="000F69F1">
        <w:rPr>
          <w:rFonts w:asciiTheme="minorHAnsi" w:hAnsiTheme="minorHAnsi" w:cstheme="minorHAnsi"/>
          <w:b/>
          <w:bCs/>
        </w:rPr>
        <w:t xml:space="preserve">ogółowi odbiorców w celach informacyjnych, rozrywkowych lub edukacyjnych </w:t>
      </w:r>
      <w:r w:rsidR="007B689B" w:rsidRPr="000F69F1">
        <w:rPr>
          <w:rFonts w:asciiTheme="minorHAnsi" w:hAnsiTheme="minorHAnsi" w:cstheme="minorHAnsi"/>
          <w:b/>
          <w:bCs/>
        </w:rPr>
        <w:t>poprzez s</w:t>
      </w:r>
      <w:r w:rsidR="00806C58">
        <w:rPr>
          <w:rFonts w:asciiTheme="minorHAnsi" w:hAnsiTheme="minorHAnsi" w:cstheme="minorHAnsi"/>
          <w:b/>
          <w:bCs/>
        </w:rPr>
        <w:t xml:space="preserve">ieci komunikacji elektronicznej, </w:t>
      </w:r>
      <w:r w:rsidR="00DC13EE" w:rsidRPr="000F69F1">
        <w:rPr>
          <w:rFonts w:asciiTheme="minorHAnsi" w:hAnsiTheme="minorHAnsi" w:cstheme="minorHAnsi"/>
          <w:b/>
          <w:bCs/>
        </w:rPr>
        <w:t>audycji</w:t>
      </w:r>
      <w:r w:rsidR="00296117" w:rsidRPr="000F69F1">
        <w:rPr>
          <w:rFonts w:asciiTheme="minorHAnsi" w:hAnsiTheme="minorHAnsi" w:cstheme="minorHAnsi"/>
          <w:b/>
          <w:bCs/>
        </w:rPr>
        <w:t xml:space="preserve">, </w:t>
      </w:r>
      <w:r w:rsidR="00DC13EE" w:rsidRPr="000F69F1">
        <w:rPr>
          <w:rFonts w:asciiTheme="minorHAnsi" w:hAnsiTheme="minorHAnsi" w:cstheme="minorHAnsi"/>
          <w:b/>
          <w:bCs/>
        </w:rPr>
        <w:t xml:space="preserve">filmów wideo tworzonych przez użytkowników </w:t>
      </w:r>
      <w:r w:rsidRPr="000F69F1">
        <w:rPr>
          <w:rFonts w:asciiTheme="minorHAnsi" w:hAnsiTheme="minorHAnsi" w:cstheme="minorHAnsi"/>
          <w:b/>
          <w:bCs/>
        </w:rPr>
        <w:t xml:space="preserve">lub </w:t>
      </w:r>
      <w:r w:rsidR="00296117" w:rsidRPr="000F69F1">
        <w:rPr>
          <w:rFonts w:asciiTheme="minorHAnsi" w:hAnsiTheme="minorHAnsi" w:cstheme="minorHAnsi"/>
          <w:b/>
          <w:bCs/>
        </w:rPr>
        <w:t>obu tych rodzajów treści</w:t>
      </w:r>
      <w:r w:rsidR="00806C58">
        <w:rPr>
          <w:rFonts w:asciiTheme="minorHAnsi" w:hAnsiTheme="minorHAnsi" w:cstheme="minorHAnsi"/>
          <w:b/>
          <w:bCs/>
        </w:rPr>
        <w:t>,</w:t>
      </w:r>
      <w:r w:rsidR="00296117" w:rsidRPr="000F69F1">
        <w:rPr>
          <w:rFonts w:asciiTheme="minorHAnsi" w:hAnsiTheme="minorHAnsi" w:cstheme="minorHAnsi"/>
          <w:b/>
          <w:bCs/>
        </w:rPr>
        <w:t xml:space="preserve"> </w:t>
      </w:r>
      <w:r w:rsidRPr="000F69F1">
        <w:rPr>
          <w:rFonts w:asciiTheme="minorHAnsi" w:hAnsiTheme="minorHAnsi" w:cstheme="minorHAnsi"/>
          <w:b/>
          <w:bCs/>
        </w:rPr>
        <w:t>za które dostawca platformy udostępniania wideo nie ponosi odpowiedzialności redakcyjnej, ale o sposobie zestawienia których dostawca ten decyduje, w tym automatycznie lub za pomocą algorytmów, w szczególności poprzez eksponowanie, flagowanie i sekwencjonowanie</w:t>
      </w:r>
      <w:r w:rsidR="00DC13EE" w:rsidRPr="000F69F1">
        <w:rPr>
          <w:rFonts w:asciiTheme="minorHAnsi" w:hAnsiTheme="minorHAnsi" w:cstheme="minorHAnsi"/>
          <w:b/>
          <w:bCs/>
        </w:rPr>
        <w:t>.</w:t>
      </w:r>
      <w:r w:rsidR="00DC13EE" w:rsidRPr="000F69F1">
        <w:rPr>
          <w:rFonts w:asciiTheme="minorHAnsi" w:hAnsiTheme="minorHAnsi" w:cstheme="minorHAnsi"/>
        </w:rPr>
        <w:t xml:space="preserve"> </w:t>
      </w:r>
    </w:p>
    <w:p w14:paraId="4CE4683F" w14:textId="77777777" w:rsidR="000F69F1" w:rsidRPr="000F69F1" w:rsidRDefault="000F69F1" w:rsidP="006328C6">
      <w:pPr>
        <w:spacing w:after="120" w:line="276" w:lineRule="auto"/>
        <w:jc w:val="both"/>
        <w:rPr>
          <w:rFonts w:asciiTheme="minorHAnsi" w:hAnsiTheme="minorHAnsi" w:cstheme="minorHAnsi"/>
        </w:rPr>
      </w:pPr>
      <w:r w:rsidRPr="000F69F1">
        <w:rPr>
          <w:rFonts w:asciiTheme="minorHAnsi" w:hAnsiTheme="minorHAnsi" w:cstheme="minorHAnsi"/>
        </w:rPr>
        <w:t xml:space="preserve">Aby zapewnić jasność, skuteczność i spójność wdrażania dyrektywy, Komisja Europejska wyda wytyczne w sprawie praktycznego stosowania kryterium </w:t>
      </w:r>
      <w:r w:rsidRPr="0026538E">
        <w:rPr>
          <w:rFonts w:asciiTheme="minorHAnsi" w:hAnsiTheme="minorHAnsi" w:cstheme="minorHAnsi"/>
          <w:u w:val="single"/>
        </w:rPr>
        <w:t xml:space="preserve">zasadniczej funkcji </w:t>
      </w:r>
      <w:r w:rsidRPr="000F69F1">
        <w:rPr>
          <w:rFonts w:asciiTheme="minorHAnsi" w:hAnsiTheme="minorHAnsi" w:cstheme="minorHAnsi"/>
        </w:rPr>
        <w:t>serwisu zawarte w definicji usługi platformy udostępniania wideo, uwzględniając odpowiednie wskaźniki przy określaniu komercyjnego znaczenia treści audiowizualnych dla niektórych usług, a w szczególności, czy nie jest to jedynie działalność pomocnicza czy niewielka część jej działalności.</w:t>
      </w:r>
    </w:p>
    <w:p w14:paraId="718027B4" w14:textId="77777777" w:rsidR="000F69F1" w:rsidRPr="000F69F1" w:rsidRDefault="000F69F1" w:rsidP="006328C6">
      <w:pPr>
        <w:spacing w:after="120" w:line="276" w:lineRule="auto"/>
        <w:jc w:val="both"/>
        <w:rPr>
          <w:rFonts w:asciiTheme="minorHAnsi" w:hAnsiTheme="minorHAnsi" w:cstheme="minorHAnsi"/>
        </w:rPr>
      </w:pPr>
      <w:r w:rsidRPr="000F69F1">
        <w:rPr>
          <w:rFonts w:asciiTheme="minorHAnsi" w:hAnsiTheme="minorHAnsi" w:cstheme="minorHAnsi"/>
        </w:rPr>
        <w:t xml:space="preserve">Wskaźniki te można podzielić na cztery kategorie: </w:t>
      </w:r>
    </w:p>
    <w:p w14:paraId="5C801708" w14:textId="149A759B" w:rsidR="000F69F1" w:rsidRPr="000F69F1" w:rsidRDefault="000F69F1" w:rsidP="006328C6">
      <w:pPr>
        <w:pStyle w:val="Akapitzlist"/>
        <w:numPr>
          <w:ilvl w:val="0"/>
          <w:numId w:val="1"/>
        </w:numPr>
        <w:spacing w:after="120" w:line="276" w:lineRule="auto"/>
        <w:ind w:left="567" w:hanging="283"/>
        <w:jc w:val="both"/>
        <w:rPr>
          <w:rFonts w:asciiTheme="minorHAnsi" w:hAnsiTheme="minorHAnsi" w:cstheme="minorHAnsi"/>
        </w:rPr>
      </w:pPr>
      <w:r w:rsidRPr="000F69F1">
        <w:rPr>
          <w:rFonts w:asciiTheme="minorHAnsi" w:hAnsiTheme="minorHAnsi" w:cstheme="minorHAnsi"/>
        </w:rPr>
        <w:t>związek między treściami audiowizualnymi a główną działalnością gospo</w:t>
      </w:r>
      <w:r w:rsidR="00396326">
        <w:rPr>
          <w:rFonts w:asciiTheme="minorHAnsi" w:hAnsiTheme="minorHAnsi" w:cstheme="minorHAnsi"/>
        </w:rPr>
        <w:t>darczą lub działalnością usługi,</w:t>
      </w:r>
      <w:r w:rsidRPr="000F69F1">
        <w:rPr>
          <w:rFonts w:asciiTheme="minorHAnsi" w:hAnsiTheme="minorHAnsi" w:cstheme="minorHAnsi"/>
        </w:rPr>
        <w:t xml:space="preserve"> </w:t>
      </w:r>
    </w:p>
    <w:p w14:paraId="39006473" w14:textId="4D6BC26C" w:rsidR="000F69F1" w:rsidRPr="000F69F1" w:rsidRDefault="000F69F1" w:rsidP="006328C6">
      <w:pPr>
        <w:pStyle w:val="Akapitzlist"/>
        <w:numPr>
          <w:ilvl w:val="0"/>
          <w:numId w:val="1"/>
        </w:numPr>
        <w:spacing w:after="120" w:line="276" w:lineRule="auto"/>
        <w:ind w:left="567" w:hanging="283"/>
        <w:jc w:val="both"/>
        <w:rPr>
          <w:rFonts w:asciiTheme="minorHAnsi" w:hAnsiTheme="minorHAnsi" w:cstheme="minorHAnsi"/>
        </w:rPr>
      </w:pPr>
      <w:r w:rsidRPr="000F69F1">
        <w:rPr>
          <w:rFonts w:asciiTheme="minorHAnsi" w:hAnsiTheme="minorHAnsi" w:cstheme="minorHAnsi"/>
        </w:rPr>
        <w:t>ilościowe i jakościowe znaczenie treści audiow</w:t>
      </w:r>
      <w:r w:rsidR="00396326">
        <w:rPr>
          <w:rFonts w:asciiTheme="minorHAnsi" w:hAnsiTheme="minorHAnsi" w:cstheme="minorHAnsi"/>
        </w:rPr>
        <w:t>izualnych dostępnych w serwisie,</w:t>
      </w:r>
      <w:r w:rsidRPr="000F69F1">
        <w:rPr>
          <w:rFonts w:asciiTheme="minorHAnsi" w:hAnsiTheme="minorHAnsi" w:cstheme="minorHAnsi"/>
        </w:rPr>
        <w:t xml:space="preserve"> </w:t>
      </w:r>
    </w:p>
    <w:p w14:paraId="5F1A61BF" w14:textId="5C53C437" w:rsidR="000F69F1" w:rsidRPr="000F69F1" w:rsidRDefault="000F69F1" w:rsidP="006328C6">
      <w:pPr>
        <w:pStyle w:val="Akapitzlist"/>
        <w:numPr>
          <w:ilvl w:val="0"/>
          <w:numId w:val="1"/>
        </w:numPr>
        <w:spacing w:after="120" w:line="276" w:lineRule="auto"/>
        <w:ind w:left="567" w:hanging="283"/>
        <w:jc w:val="both"/>
        <w:rPr>
          <w:rFonts w:asciiTheme="minorHAnsi" w:hAnsiTheme="minorHAnsi" w:cstheme="minorHAnsi"/>
        </w:rPr>
      </w:pPr>
      <w:r w:rsidRPr="000F69F1">
        <w:rPr>
          <w:rFonts w:asciiTheme="minorHAnsi" w:hAnsiTheme="minorHAnsi" w:cstheme="minorHAnsi"/>
        </w:rPr>
        <w:t>monetyzacja lub generowanie przy</w:t>
      </w:r>
      <w:r w:rsidR="00396326">
        <w:rPr>
          <w:rFonts w:asciiTheme="minorHAnsi" w:hAnsiTheme="minorHAnsi" w:cstheme="minorHAnsi"/>
        </w:rPr>
        <w:t>chodów z treści audiowizualnych,</w:t>
      </w:r>
      <w:r w:rsidRPr="000F69F1">
        <w:rPr>
          <w:rFonts w:asciiTheme="minorHAnsi" w:hAnsiTheme="minorHAnsi" w:cstheme="minorHAnsi"/>
        </w:rPr>
        <w:t xml:space="preserve"> </w:t>
      </w:r>
    </w:p>
    <w:p w14:paraId="1224D1A7" w14:textId="77777777" w:rsidR="000F69F1" w:rsidRPr="000F69F1" w:rsidRDefault="000F69F1" w:rsidP="006328C6">
      <w:pPr>
        <w:pStyle w:val="Akapitzlist"/>
        <w:numPr>
          <w:ilvl w:val="0"/>
          <w:numId w:val="1"/>
        </w:numPr>
        <w:spacing w:after="120" w:line="276" w:lineRule="auto"/>
        <w:ind w:left="567" w:hanging="283"/>
        <w:jc w:val="both"/>
        <w:rPr>
          <w:rFonts w:asciiTheme="minorHAnsi" w:hAnsiTheme="minorHAnsi" w:cstheme="minorHAnsi"/>
        </w:rPr>
      </w:pPr>
      <w:r w:rsidRPr="000F69F1">
        <w:rPr>
          <w:rFonts w:asciiTheme="minorHAnsi" w:hAnsiTheme="minorHAnsi" w:cstheme="minorHAnsi"/>
        </w:rPr>
        <w:t>dostępność narzędzi mających na celu zwiększenie widoczności lub atrakcyjności treści audiowizualnych.</w:t>
      </w:r>
    </w:p>
    <w:p w14:paraId="298BB169" w14:textId="77777777" w:rsidR="000F69F1" w:rsidRPr="000F69F1" w:rsidRDefault="000F69F1" w:rsidP="006328C6">
      <w:pPr>
        <w:spacing w:after="120" w:line="276" w:lineRule="auto"/>
        <w:jc w:val="both"/>
        <w:rPr>
          <w:rFonts w:asciiTheme="minorHAnsi" w:hAnsiTheme="minorHAnsi" w:cstheme="minorHAnsi"/>
        </w:rPr>
      </w:pPr>
      <w:r w:rsidRPr="000F69F1">
        <w:rPr>
          <w:rFonts w:asciiTheme="minorHAnsi" w:hAnsiTheme="minorHAnsi" w:cstheme="minorHAnsi"/>
        </w:rPr>
        <w:t>Wskaźniki te nie są wyczerpujące i nie powinny być stosowane łącznie. Usługę należy uznać za spełniającą test podstawowej funkcjonalności, jeżeli na podstawie ogólnej oceny wystarczająca liczba wskaźników spośród wskazanych powyżej potwierdza wniosek, że treści audiowizualne dostarczane przez usługę mają szczególne znaczenie w związku z jej działalnością handlową.</w:t>
      </w:r>
    </w:p>
    <w:p w14:paraId="6F21D665" w14:textId="77777777" w:rsidR="000F69F1" w:rsidRPr="000F69F1" w:rsidRDefault="000F69F1" w:rsidP="000F69F1">
      <w:pPr>
        <w:spacing w:after="120" w:line="276" w:lineRule="auto"/>
        <w:ind w:firstLine="708"/>
        <w:jc w:val="both"/>
        <w:rPr>
          <w:rFonts w:asciiTheme="minorHAnsi" w:hAnsiTheme="minorHAnsi" w:cstheme="minorHAnsi"/>
        </w:rPr>
      </w:pPr>
    </w:p>
    <w:p w14:paraId="002AC4F3" w14:textId="77777777" w:rsidR="00DC13EE" w:rsidRPr="006328C6" w:rsidRDefault="00DC13EE" w:rsidP="000F69F1">
      <w:pPr>
        <w:spacing w:after="120" w:line="276" w:lineRule="auto"/>
        <w:jc w:val="both"/>
        <w:rPr>
          <w:rFonts w:asciiTheme="minorHAnsi" w:hAnsiTheme="minorHAnsi" w:cstheme="minorHAnsi"/>
          <w:u w:val="single"/>
        </w:rPr>
      </w:pPr>
      <w:r w:rsidRPr="006328C6">
        <w:rPr>
          <w:rFonts w:asciiTheme="minorHAnsi" w:hAnsiTheme="minorHAnsi" w:cstheme="minorHAnsi"/>
          <w:u w:val="single"/>
        </w:rPr>
        <w:t xml:space="preserve">Obowiązki </w:t>
      </w:r>
      <w:r w:rsidR="006328C6">
        <w:rPr>
          <w:rFonts w:asciiTheme="minorHAnsi" w:hAnsiTheme="minorHAnsi" w:cstheme="minorHAnsi"/>
          <w:u w:val="single"/>
        </w:rPr>
        <w:t xml:space="preserve">dostawców </w:t>
      </w:r>
      <w:r w:rsidRPr="006328C6">
        <w:rPr>
          <w:rFonts w:asciiTheme="minorHAnsi" w:hAnsiTheme="minorHAnsi" w:cstheme="minorHAnsi"/>
          <w:u w:val="single"/>
        </w:rPr>
        <w:t>VSP</w:t>
      </w:r>
      <w:r w:rsidR="000F69F1" w:rsidRPr="006328C6">
        <w:rPr>
          <w:rFonts w:asciiTheme="minorHAnsi" w:hAnsiTheme="minorHAnsi" w:cstheme="minorHAnsi"/>
          <w:u w:val="single"/>
        </w:rPr>
        <w:t xml:space="preserve"> wynikające z DAUM</w:t>
      </w:r>
      <w:r w:rsidR="006328C6">
        <w:rPr>
          <w:rFonts w:asciiTheme="minorHAnsi" w:hAnsiTheme="minorHAnsi" w:cstheme="minorHAnsi"/>
          <w:u w:val="single"/>
        </w:rPr>
        <w:t xml:space="preserve"> </w:t>
      </w:r>
      <w:r w:rsidR="006328C6">
        <w:rPr>
          <w:rStyle w:val="Odwoanieprzypisudolnego"/>
          <w:rFonts w:asciiTheme="minorHAnsi" w:hAnsiTheme="minorHAnsi" w:cstheme="minorHAnsi"/>
        </w:rPr>
        <w:footnoteReference w:id="1"/>
      </w:r>
      <w:r w:rsidR="006328C6" w:rsidRPr="00806C58">
        <w:rPr>
          <w:rFonts w:asciiTheme="minorHAnsi" w:hAnsiTheme="minorHAnsi" w:cstheme="minorHAnsi"/>
        </w:rPr>
        <w:t>:</w:t>
      </w:r>
    </w:p>
    <w:p w14:paraId="03D25341" w14:textId="77777777" w:rsidR="0039671D" w:rsidRPr="000F69F1" w:rsidRDefault="00DC13EE" w:rsidP="000F69F1">
      <w:pPr>
        <w:spacing w:after="120" w:line="276" w:lineRule="auto"/>
        <w:jc w:val="both"/>
        <w:rPr>
          <w:rFonts w:asciiTheme="minorHAnsi" w:hAnsiTheme="minorHAnsi" w:cstheme="minorHAnsi"/>
        </w:rPr>
      </w:pPr>
      <w:r w:rsidRPr="000F69F1">
        <w:rPr>
          <w:rFonts w:asciiTheme="minorHAnsi" w:hAnsiTheme="minorHAnsi" w:cstheme="minorHAnsi"/>
        </w:rPr>
        <w:t xml:space="preserve">Dostawcy </w:t>
      </w:r>
      <w:r w:rsidR="006A3FE4" w:rsidRPr="000F69F1">
        <w:rPr>
          <w:rFonts w:asciiTheme="minorHAnsi" w:hAnsiTheme="minorHAnsi" w:cstheme="minorHAnsi"/>
        </w:rPr>
        <w:t>VSP</w:t>
      </w:r>
      <w:r w:rsidRPr="000F69F1">
        <w:rPr>
          <w:rFonts w:asciiTheme="minorHAnsi" w:hAnsiTheme="minorHAnsi" w:cstheme="minorHAnsi"/>
        </w:rPr>
        <w:t xml:space="preserve"> będą musieli wprowadzić </w:t>
      </w:r>
      <w:r w:rsidR="006328C6">
        <w:rPr>
          <w:rFonts w:asciiTheme="minorHAnsi" w:hAnsiTheme="minorHAnsi" w:cstheme="minorHAnsi"/>
        </w:rPr>
        <w:t>środki</w:t>
      </w:r>
      <w:r w:rsidR="006328C6">
        <w:rPr>
          <w:rStyle w:val="Odwoanieprzypisudolnego"/>
          <w:rFonts w:asciiTheme="minorHAnsi" w:hAnsiTheme="minorHAnsi" w:cstheme="minorHAnsi"/>
        </w:rPr>
        <w:footnoteReference w:id="2"/>
      </w:r>
      <w:r w:rsidR="006328C6">
        <w:rPr>
          <w:rFonts w:asciiTheme="minorHAnsi" w:hAnsiTheme="minorHAnsi" w:cstheme="minorHAnsi"/>
        </w:rPr>
        <w:t xml:space="preserve"> </w:t>
      </w:r>
      <w:r w:rsidRPr="000F69F1">
        <w:rPr>
          <w:rFonts w:asciiTheme="minorHAnsi" w:hAnsiTheme="minorHAnsi" w:cstheme="minorHAnsi"/>
        </w:rPr>
        <w:t>zapewniające wystarczającą ochronę małoletnich przed treściami</w:t>
      </w:r>
      <w:r w:rsidR="0039671D" w:rsidRPr="000F69F1">
        <w:rPr>
          <w:rFonts w:asciiTheme="minorHAnsi" w:hAnsiTheme="minorHAnsi" w:cstheme="minorHAnsi"/>
        </w:rPr>
        <w:t xml:space="preserve">, </w:t>
      </w:r>
      <w:r w:rsidRPr="000F69F1">
        <w:rPr>
          <w:rFonts w:asciiTheme="minorHAnsi" w:hAnsiTheme="minorHAnsi" w:cstheme="minorHAnsi"/>
        </w:rPr>
        <w:t xml:space="preserve">które mogą zaszkodzić ich rozwojowi fizycznemu, </w:t>
      </w:r>
      <w:r w:rsidR="0039671D" w:rsidRPr="000F69F1">
        <w:rPr>
          <w:rFonts w:asciiTheme="minorHAnsi" w:hAnsiTheme="minorHAnsi" w:cstheme="minorHAnsi"/>
        </w:rPr>
        <w:t xml:space="preserve">psychicznemu </w:t>
      </w:r>
      <w:r w:rsidRPr="000F69F1">
        <w:rPr>
          <w:rFonts w:asciiTheme="minorHAnsi" w:hAnsiTheme="minorHAnsi" w:cstheme="minorHAnsi"/>
        </w:rPr>
        <w:t xml:space="preserve">lub moralnemu oraz </w:t>
      </w:r>
      <w:r w:rsidRPr="000F69F1">
        <w:rPr>
          <w:rFonts w:asciiTheme="minorHAnsi" w:hAnsiTheme="minorHAnsi" w:cstheme="minorHAnsi"/>
        </w:rPr>
        <w:lastRenderedPageBreak/>
        <w:t>ochronę ogółu odbiorców przed treściami zawierającymi nawoływanie do przemocy lub nienawiści wobec osób, publiczne nawoływanie do popełniania przestępstw terrorystycznych, pornografię dziecięcą, rasizm i ksenofobię</w:t>
      </w:r>
      <w:r w:rsidR="0039671D" w:rsidRPr="000F69F1">
        <w:rPr>
          <w:rFonts w:asciiTheme="minorHAnsi" w:hAnsiTheme="minorHAnsi" w:cstheme="minorHAnsi"/>
        </w:rPr>
        <w:t xml:space="preserve">. </w:t>
      </w:r>
      <w:r w:rsidR="006328C6">
        <w:rPr>
          <w:rFonts w:asciiTheme="minorHAnsi" w:hAnsiTheme="minorHAnsi" w:cstheme="minorHAnsi"/>
        </w:rPr>
        <w:t>W tym kontekście s</w:t>
      </w:r>
      <w:r w:rsidR="0039671D" w:rsidRPr="000F69F1">
        <w:rPr>
          <w:rFonts w:asciiTheme="minorHAnsi" w:hAnsiTheme="minorHAnsi" w:cstheme="minorHAnsi"/>
        </w:rPr>
        <w:t>łowo „treści” oznacza: audycje</w:t>
      </w:r>
      <w:r w:rsidR="0026538E">
        <w:rPr>
          <w:rFonts w:asciiTheme="minorHAnsi" w:hAnsiTheme="minorHAnsi" w:cstheme="minorHAnsi"/>
        </w:rPr>
        <w:t xml:space="preserve"> lub</w:t>
      </w:r>
      <w:r w:rsidR="0039671D" w:rsidRPr="000F69F1">
        <w:rPr>
          <w:rFonts w:asciiTheme="minorHAnsi" w:hAnsiTheme="minorHAnsi" w:cstheme="minorHAnsi"/>
        </w:rPr>
        <w:t xml:space="preserve"> wideo stworzone przez użytkowników oraz handlowe przekazy audiowizualne.</w:t>
      </w:r>
    </w:p>
    <w:p w14:paraId="36D0A833" w14:textId="2CA16605" w:rsidR="0026538E" w:rsidRDefault="0039671D" w:rsidP="000F69F1">
      <w:pPr>
        <w:spacing w:after="120" w:line="276" w:lineRule="auto"/>
        <w:jc w:val="both"/>
        <w:rPr>
          <w:rFonts w:asciiTheme="minorHAnsi" w:hAnsiTheme="minorHAnsi" w:cstheme="minorHAnsi"/>
        </w:rPr>
      </w:pPr>
      <w:r w:rsidRPr="000F69F1">
        <w:rPr>
          <w:rFonts w:asciiTheme="minorHAnsi" w:hAnsiTheme="minorHAnsi" w:cstheme="minorHAnsi"/>
        </w:rPr>
        <w:t xml:space="preserve">Jeśli chodzi o audiowizualne przekazy handlowe, </w:t>
      </w:r>
      <w:r w:rsidR="006F0861" w:rsidRPr="000F69F1">
        <w:rPr>
          <w:rFonts w:asciiTheme="minorHAnsi" w:hAnsiTheme="minorHAnsi" w:cstheme="minorHAnsi"/>
        </w:rPr>
        <w:t>dostawcy VSP muszą wyraźnie informować użytkowników o audycjach i wideo stworzonych przez użytkowników</w:t>
      </w:r>
      <w:r w:rsidR="00806C58">
        <w:rPr>
          <w:rFonts w:asciiTheme="minorHAnsi" w:hAnsiTheme="minorHAnsi" w:cstheme="minorHAnsi"/>
        </w:rPr>
        <w:t>,</w:t>
      </w:r>
      <w:r w:rsidR="0026538E">
        <w:rPr>
          <w:rFonts w:asciiTheme="minorHAnsi" w:hAnsiTheme="minorHAnsi" w:cstheme="minorHAnsi"/>
        </w:rPr>
        <w:t xml:space="preserve"> które </w:t>
      </w:r>
      <w:r w:rsidR="006F0861" w:rsidRPr="000F69F1">
        <w:rPr>
          <w:rFonts w:asciiTheme="minorHAnsi" w:hAnsiTheme="minorHAnsi" w:cstheme="minorHAnsi"/>
        </w:rPr>
        <w:t>zawieraj</w:t>
      </w:r>
      <w:r w:rsidR="0026538E">
        <w:rPr>
          <w:rFonts w:asciiTheme="minorHAnsi" w:hAnsiTheme="minorHAnsi" w:cstheme="minorHAnsi"/>
        </w:rPr>
        <w:t>ą</w:t>
      </w:r>
      <w:r w:rsidR="006F0861" w:rsidRPr="000F69F1">
        <w:rPr>
          <w:rFonts w:asciiTheme="minorHAnsi" w:hAnsiTheme="minorHAnsi" w:cstheme="minorHAnsi"/>
        </w:rPr>
        <w:t xml:space="preserve"> takie przekazy</w:t>
      </w:r>
      <w:r w:rsidR="006328C6">
        <w:rPr>
          <w:rFonts w:asciiTheme="minorHAnsi" w:hAnsiTheme="minorHAnsi" w:cstheme="minorHAnsi"/>
        </w:rPr>
        <w:t xml:space="preserve">. </w:t>
      </w:r>
      <w:r w:rsidR="006F0861" w:rsidRPr="000F69F1">
        <w:rPr>
          <w:rFonts w:asciiTheme="minorHAnsi" w:hAnsiTheme="minorHAnsi" w:cstheme="minorHAnsi"/>
        </w:rPr>
        <w:t xml:space="preserve"> </w:t>
      </w:r>
    </w:p>
    <w:p w14:paraId="7DD18E97" w14:textId="77777777" w:rsidR="0026538E" w:rsidRDefault="006F0861" w:rsidP="000F69F1">
      <w:pPr>
        <w:spacing w:after="120" w:line="276" w:lineRule="auto"/>
        <w:jc w:val="both"/>
        <w:rPr>
          <w:rFonts w:asciiTheme="minorHAnsi" w:hAnsiTheme="minorHAnsi" w:cstheme="minorHAnsi"/>
        </w:rPr>
      </w:pPr>
      <w:r w:rsidRPr="000F69F1">
        <w:rPr>
          <w:rFonts w:asciiTheme="minorHAnsi" w:hAnsiTheme="minorHAnsi" w:cstheme="minorHAnsi"/>
        </w:rPr>
        <w:t>Ponadto</w:t>
      </w:r>
      <w:r w:rsidR="0026538E">
        <w:rPr>
          <w:rFonts w:asciiTheme="minorHAnsi" w:hAnsiTheme="minorHAnsi" w:cstheme="minorHAnsi"/>
        </w:rPr>
        <w:t xml:space="preserve"> </w:t>
      </w:r>
      <w:r w:rsidRPr="000F69F1">
        <w:rPr>
          <w:rFonts w:asciiTheme="minorHAnsi" w:hAnsiTheme="minorHAnsi" w:cstheme="minorHAnsi"/>
        </w:rPr>
        <w:t>przekaz</w:t>
      </w:r>
      <w:r w:rsidR="0026538E">
        <w:rPr>
          <w:rFonts w:asciiTheme="minorHAnsi" w:hAnsiTheme="minorHAnsi" w:cstheme="minorHAnsi"/>
        </w:rPr>
        <w:t>y</w:t>
      </w:r>
      <w:r w:rsidRPr="000F69F1">
        <w:rPr>
          <w:rFonts w:asciiTheme="minorHAnsi" w:hAnsiTheme="minorHAnsi" w:cstheme="minorHAnsi"/>
        </w:rPr>
        <w:t xml:space="preserve"> handlow</w:t>
      </w:r>
      <w:r w:rsidR="0026538E">
        <w:rPr>
          <w:rFonts w:asciiTheme="minorHAnsi" w:hAnsiTheme="minorHAnsi" w:cstheme="minorHAnsi"/>
        </w:rPr>
        <w:t>e</w:t>
      </w:r>
      <w:r w:rsidRPr="000F69F1">
        <w:rPr>
          <w:rFonts w:asciiTheme="minorHAnsi" w:hAnsiTheme="minorHAnsi" w:cstheme="minorHAnsi"/>
        </w:rPr>
        <w:t xml:space="preserve"> </w:t>
      </w:r>
      <w:r w:rsidR="00743B95" w:rsidRPr="000F69F1">
        <w:rPr>
          <w:rFonts w:asciiTheme="minorHAnsi" w:hAnsiTheme="minorHAnsi" w:cstheme="minorHAnsi"/>
        </w:rPr>
        <w:t>promowan</w:t>
      </w:r>
      <w:r w:rsidR="0026538E">
        <w:rPr>
          <w:rFonts w:asciiTheme="minorHAnsi" w:hAnsiTheme="minorHAnsi" w:cstheme="minorHAnsi"/>
        </w:rPr>
        <w:t>e</w:t>
      </w:r>
      <w:r w:rsidR="00743B95" w:rsidRPr="000F69F1">
        <w:rPr>
          <w:rFonts w:asciiTheme="minorHAnsi" w:hAnsiTheme="minorHAnsi" w:cstheme="minorHAnsi"/>
        </w:rPr>
        <w:t>, sprzedawan</w:t>
      </w:r>
      <w:r w:rsidR="0026538E">
        <w:rPr>
          <w:rFonts w:asciiTheme="minorHAnsi" w:hAnsiTheme="minorHAnsi" w:cstheme="minorHAnsi"/>
        </w:rPr>
        <w:t>e</w:t>
      </w:r>
      <w:r w:rsidR="00743B95" w:rsidRPr="000F69F1">
        <w:rPr>
          <w:rFonts w:asciiTheme="minorHAnsi" w:hAnsiTheme="minorHAnsi" w:cstheme="minorHAnsi"/>
        </w:rPr>
        <w:t xml:space="preserve"> lub umieszczan</w:t>
      </w:r>
      <w:r w:rsidR="0026538E">
        <w:rPr>
          <w:rFonts w:asciiTheme="minorHAnsi" w:hAnsiTheme="minorHAnsi" w:cstheme="minorHAnsi"/>
        </w:rPr>
        <w:t>e</w:t>
      </w:r>
      <w:r w:rsidRPr="000F69F1">
        <w:rPr>
          <w:rFonts w:asciiTheme="minorHAnsi" w:hAnsiTheme="minorHAnsi" w:cstheme="minorHAnsi"/>
        </w:rPr>
        <w:t xml:space="preserve"> </w:t>
      </w:r>
      <w:r w:rsidR="00743B95" w:rsidRPr="000F69F1">
        <w:rPr>
          <w:rFonts w:asciiTheme="minorHAnsi" w:hAnsiTheme="minorHAnsi" w:cstheme="minorHAnsi"/>
        </w:rPr>
        <w:t>przez dostawców VSP</w:t>
      </w:r>
      <w:r w:rsidR="00743B95" w:rsidRPr="000F69F1">
        <w:rPr>
          <w:rStyle w:val="Odwoanieprzypisudolnego"/>
          <w:rFonts w:asciiTheme="minorHAnsi" w:hAnsiTheme="minorHAnsi" w:cstheme="minorHAnsi"/>
        </w:rPr>
        <w:footnoteReference w:id="3"/>
      </w:r>
      <w:r w:rsidRPr="000F69F1">
        <w:rPr>
          <w:rFonts w:asciiTheme="minorHAnsi" w:hAnsiTheme="minorHAnsi" w:cstheme="minorHAnsi"/>
        </w:rPr>
        <w:t>,</w:t>
      </w:r>
      <w:r w:rsidR="00743B95" w:rsidRPr="000F69F1">
        <w:rPr>
          <w:rFonts w:asciiTheme="minorHAnsi" w:hAnsiTheme="minorHAnsi" w:cstheme="minorHAnsi"/>
        </w:rPr>
        <w:t xml:space="preserve"> </w:t>
      </w:r>
      <w:r w:rsidR="0039671D" w:rsidRPr="000F69F1">
        <w:rPr>
          <w:rFonts w:asciiTheme="minorHAnsi" w:hAnsiTheme="minorHAnsi" w:cstheme="minorHAnsi"/>
        </w:rPr>
        <w:t>musz</w:t>
      </w:r>
      <w:r w:rsidR="00743B95" w:rsidRPr="000F69F1">
        <w:rPr>
          <w:rFonts w:asciiTheme="minorHAnsi" w:hAnsiTheme="minorHAnsi" w:cstheme="minorHAnsi"/>
        </w:rPr>
        <w:t>ą</w:t>
      </w:r>
      <w:r w:rsidR="0039671D" w:rsidRPr="000F69F1">
        <w:rPr>
          <w:rFonts w:asciiTheme="minorHAnsi" w:hAnsiTheme="minorHAnsi" w:cstheme="minorHAnsi"/>
        </w:rPr>
        <w:t xml:space="preserve"> spełniać wymogi wynikające z art. 9 ust 1 DAUM, tj.</w:t>
      </w:r>
      <w:r w:rsidR="0026538E">
        <w:rPr>
          <w:rFonts w:asciiTheme="minorHAnsi" w:hAnsiTheme="minorHAnsi" w:cstheme="minorHAnsi"/>
        </w:rPr>
        <w:t>:</w:t>
      </w:r>
    </w:p>
    <w:p w14:paraId="6B583DA6" w14:textId="77777777" w:rsidR="0026538E" w:rsidRPr="0026538E" w:rsidRDefault="00743B95" w:rsidP="0026538E">
      <w:pPr>
        <w:pStyle w:val="Akapitzlist"/>
        <w:numPr>
          <w:ilvl w:val="0"/>
          <w:numId w:val="3"/>
        </w:numPr>
        <w:spacing w:after="120" w:line="276" w:lineRule="auto"/>
        <w:jc w:val="both"/>
        <w:rPr>
          <w:rFonts w:asciiTheme="minorHAnsi" w:hAnsiTheme="minorHAnsi" w:cstheme="minorHAnsi"/>
        </w:rPr>
      </w:pPr>
      <w:r w:rsidRPr="0026538E">
        <w:rPr>
          <w:rFonts w:asciiTheme="minorHAnsi" w:hAnsiTheme="minorHAnsi" w:cstheme="minorHAnsi"/>
        </w:rPr>
        <w:t xml:space="preserve">muszą </w:t>
      </w:r>
      <w:r w:rsidR="0039671D" w:rsidRPr="0026538E">
        <w:rPr>
          <w:rFonts w:asciiTheme="minorHAnsi" w:hAnsiTheme="minorHAnsi" w:cstheme="minorHAnsi"/>
        </w:rPr>
        <w:t xml:space="preserve">być łatwo rozpoznawalne, </w:t>
      </w:r>
    </w:p>
    <w:p w14:paraId="334200D1" w14:textId="3F04DE86" w:rsidR="0026538E" w:rsidRDefault="0039671D" w:rsidP="000F69F1">
      <w:pPr>
        <w:pStyle w:val="Akapitzlist"/>
        <w:numPr>
          <w:ilvl w:val="0"/>
          <w:numId w:val="3"/>
        </w:numPr>
        <w:spacing w:after="120" w:line="276" w:lineRule="auto"/>
        <w:jc w:val="both"/>
        <w:rPr>
          <w:rFonts w:asciiTheme="minorHAnsi" w:hAnsiTheme="minorHAnsi" w:cstheme="minorHAnsi"/>
        </w:rPr>
      </w:pPr>
      <w:r w:rsidRPr="0026538E">
        <w:rPr>
          <w:rFonts w:asciiTheme="minorHAnsi" w:hAnsiTheme="minorHAnsi" w:cstheme="minorHAnsi"/>
        </w:rPr>
        <w:t xml:space="preserve">nie mogą wykorzystywać technik podprogowych, </w:t>
      </w:r>
      <w:r w:rsidR="0026538E" w:rsidRPr="0026538E">
        <w:rPr>
          <w:rFonts w:asciiTheme="minorHAnsi" w:hAnsiTheme="minorHAnsi" w:cstheme="minorHAnsi"/>
        </w:rPr>
        <w:t xml:space="preserve">nie wolno </w:t>
      </w:r>
      <w:r w:rsidRPr="0026538E">
        <w:rPr>
          <w:rFonts w:asciiTheme="minorHAnsi" w:hAnsiTheme="minorHAnsi" w:cstheme="minorHAnsi"/>
        </w:rPr>
        <w:t>stosowa</w:t>
      </w:r>
      <w:r w:rsidR="00806C58">
        <w:rPr>
          <w:rFonts w:asciiTheme="minorHAnsi" w:hAnsiTheme="minorHAnsi" w:cstheme="minorHAnsi"/>
        </w:rPr>
        <w:t>ć ukrytych przekazów handlowych,</w:t>
      </w:r>
      <w:r w:rsidRPr="0026538E">
        <w:rPr>
          <w:rFonts w:asciiTheme="minorHAnsi" w:hAnsiTheme="minorHAnsi" w:cstheme="minorHAnsi"/>
        </w:rPr>
        <w:t xml:space="preserve"> </w:t>
      </w:r>
    </w:p>
    <w:p w14:paraId="062620FB" w14:textId="0FC4513D" w:rsid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n</w:t>
      </w:r>
      <w:r w:rsidR="0039671D" w:rsidRPr="0026538E">
        <w:rPr>
          <w:rFonts w:asciiTheme="minorHAnsi" w:hAnsiTheme="minorHAnsi" w:cstheme="minorHAnsi"/>
        </w:rPr>
        <w:t xml:space="preserve">ie mogą naruszać godności człowieka, zawierać treści dyskryminujących ze względu na płeć, rasę lub </w:t>
      </w:r>
      <w:r w:rsidR="00743B95" w:rsidRPr="0026538E">
        <w:rPr>
          <w:rFonts w:asciiTheme="minorHAnsi" w:hAnsiTheme="minorHAnsi" w:cstheme="minorHAnsi"/>
        </w:rPr>
        <w:t>pochodzenie</w:t>
      </w:r>
      <w:r w:rsidR="0039671D" w:rsidRPr="0026538E">
        <w:rPr>
          <w:rFonts w:asciiTheme="minorHAnsi" w:hAnsiTheme="minorHAnsi" w:cstheme="minorHAnsi"/>
        </w:rPr>
        <w:t xml:space="preserve"> etniczne, narodowość, religię, światopogląd, niepełnosprawność, wiek</w:t>
      </w:r>
      <w:r w:rsidR="00743B95" w:rsidRPr="0026538E">
        <w:rPr>
          <w:rFonts w:asciiTheme="minorHAnsi" w:hAnsiTheme="minorHAnsi" w:cstheme="minorHAnsi"/>
        </w:rPr>
        <w:t xml:space="preserve"> </w:t>
      </w:r>
      <w:r w:rsidR="0039671D" w:rsidRPr="0026538E">
        <w:rPr>
          <w:rFonts w:asciiTheme="minorHAnsi" w:hAnsiTheme="minorHAnsi" w:cstheme="minorHAnsi"/>
        </w:rPr>
        <w:t xml:space="preserve">lub orientację seksualną ani promować takiej </w:t>
      </w:r>
      <w:r w:rsidR="00806C58">
        <w:rPr>
          <w:rFonts w:asciiTheme="minorHAnsi" w:hAnsiTheme="minorHAnsi" w:cstheme="minorHAnsi"/>
        </w:rPr>
        <w:t>dyskryminacji,</w:t>
      </w:r>
      <w:r w:rsidR="00743B95" w:rsidRPr="0026538E">
        <w:rPr>
          <w:rFonts w:asciiTheme="minorHAnsi" w:hAnsiTheme="minorHAnsi" w:cstheme="minorHAnsi"/>
        </w:rPr>
        <w:t xml:space="preserve"> </w:t>
      </w:r>
    </w:p>
    <w:p w14:paraId="7FCBE27F" w14:textId="724D7799" w:rsid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n</w:t>
      </w:r>
      <w:r w:rsidR="0039671D" w:rsidRPr="0026538E">
        <w:rPr>
          <w:rFonts w:asciiTheme="minorHAnsi" w:hAnsiTheme="minorHAnsi" w:cstheme="minorHAnsi"/>
        </w:rPr>
        <w:t xml:space="preserve">ie mogą zachęcać do </w:t>
      </w:r>
      <w:r w:rsidR="00743B95" w:rsidRPr="0026538E">
        <w:rPr>
          <w:rFonts w:asciiTheme="minorHAnsi" w:hAnsiTheme="minorHAnsi" w:cstheme="minorHAnsi"/>
        </w:rPr>
        <w:t>postępowania</w:t>
      </w:r>
      <w:r w:rsidR="0039671D" w:rsidRPr="0026538E">
        <w:rPr>
          <w:rFonts w:asciiTheme="minorHAnsi" w:hAnsiTheme="minorHAnsi" w:cstheme="minorHAnsi"/>
        </w:rPr>
        <w:t xml:space="preserve"> zagrażającego zdrowiu lub </w:t>
      </w:r>
      <w:r w:rsidR="00743B95" w:rsidRPr="0026538E">
        <w:rPr>
          <w:rFonts w:asciiTheme="minorHAnsi" w:hAnsiTheme="minorHAnsi" w:cstheme="minorHAnsi"/>
        </w:rPr>
        <w:t>bezpieczeństwu</w:t>
      </w:r>
      <w:r w:rsidR="0039671D" w:rsidRPr="0026538E">
        <w:rPr>
          <w:rFonts w:asciiTheme="minorHAnsi" w:hAnsiTheme="minorHAnsi" w:cstheme="minorHAnsi"/>
        </w:rPr>
        <w:t xml:space="preserve">, ani zachęcać do </w:t>
      </w:r>
      <w:r w:rsidR="00743B95" w:rsidRPr="0026538E">
        <w:rPr>
          <w:rFonts w:asciiTheme="minorHAnsi" w:hAnsiTheme="minorHAnsi" w:cstheme="minorHAnsi"/>
        </w:rPr>
        <w:t>post</w:t>
      </w:r>
      <w:r w:rsidR="006328C6" w:rsidRPr="0026538E">
        <w:rPr>
          <w:rFonts w:asciiTheme="minorHAnsi" w:hAnsiTheme="minorHAnsi" w:cstheme="minorHAnsi"/>
        </w:rPr>
        <w:t>ę</w:t>
      </w:r>
      <w:r w:rsidR="00743B95" w:rsidRPr="0026538E">
        <w:rPr>
          <w:rFonts w:asciiTheme="minorHAnsi" w:hAnsiTheme="minorHAnsi" w:cstheme="minorHAnsi"/>
        </w:rPr>
        <w:t xml:space="preserve">powania poważnie </w:t>
      </w:r>
      <w:r w:rsidR="00806C58">
        <w:rPr>
          <w:rFonts w:asciiTheme="minorHAnsi" w:hAnsiTheme="minorHAnsi" w:cstheme="minorHAnsi"/>
        </w:rPr>
        <w:t>szkodzącego ochronie środowiska,</w:t>
      </w:r>
      <w:r w:rsidR="00743B95" w:rsidRPr="0026538E">
        <w:rPr>
          <w:rFonts w:asciiTheme="minorHAnsi" w:hAnsiTheme="minorHAnsi" w:cstheme="minorHAnsi"/>
        </w:rPr>
        <w:t xml:space="preserve"> </w:t>
      </w:r>
    </w:p>
    <w:p w14:paraId="4BBD0D82" w14:textId="0130E584" w:rsid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n</w:t>
      </w:r>
      <w:r w:rsidR="00743B95" w:rsidRPr="0026538E">
        <w:rPr>
          <w:rFonts w:asciiTheme="minorHAnsi" w:hAnsiTheme="minorHAnsi" w:cstheme="minorHAnsi"/>
        </w:rPr>
        <w:t>ie mogą reklamować papierosów i innych wyrobów tytoniowych, papierosów elektron</w:t>
      </w:r>
      <w:r w:rsidR="00806C58">
        <w:rPr>
          <w:rFonts w:asciiTheme="minorHAnsi" w:hAnsiTheme="minorHAnsi" w:cstheme="minorHAnsi"/>
        </w:rPr>
        <w:t>icznych i pojemników zapasowych,</w:t>
      </w:r>
    </w:p>
    <w:p w14:paraId="2EBC194E" w14:textId="2D921343" w:rsid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p</w:t>
      </w:r>
      <w:r w:rsidR="00743B95" w:rsidRPr="0026538E">
        <w:rPr>
          <w:rFonts w:asciiTheme="minorHAnsi" w:hAnsiTheme="minorHAnsi" w:cstheme="minorHAnsi"/>
        </w:rPr>
        <w:t>rzekazy handlowe dotyczące napojów alkoholowych nie mogą być specjalnie kierowane do dzieci; nie mogą zachęcać do nieumiarko</w:t>
      </w:r>
      <w:r w:rsidR="00806C58">
        <w:rPr>
          <w:rFonts w:asciiTheme="minorHAnsi" w:hAnsiTheme="minorHAnsi" w:cstheme="minorHAnsi"/>
        </w:rPr>
        <w:t>wanej konsumpcji takich napojów,</w:t>
      </w:r>
      <w:r w:rsidR="00743B95" w:rsidRPr="0026538E">
        <w:rPr>
          <w:rFonts w:asciiTheme="minorHAnsi" w:hAnsiTheme="minorHAnsi" w:cstheme="minorHAnsi"/>
        </w:rPr>
        <w:t xml:space="preserve"> </w:t>
      </w:r>
    </w:p>
    <w:p w14:paraId="0123A074" w14:textId="233F890B" w:rsid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n</w:t>
      </w:r>
      <w:r w:rsidR="00743B95" w:rsidRPr="0026538E">
        <w:rPr>
          <w:rFonts w:asciiTheme="minorHAnsi" w:hAnsiTheme="minorHAnsi" w:cstheme="minorHAnsi"/>
        </w:rPr>
        <w:t>ie mogą dotyczyć produktów i zabiegów lec</w:t>
      </w:r>
      <w:r w:rsidR="00806C58">
        <w:rPr>
          <w:rFonts w:asciiTheme="minorHAnsi" w:hAnsiTheme="minorHAnsi" w:cstheme="minorHAnsi"/>
        </w:rPr>
        <w:t>zniczych dostępnych na receptę,</w:t>
      </w:r>
    </w:p>
    <w:p w14:paraId="4ECF30D2" w14:textId="77777777" w:rsidR="006328C6" w:rsidRPr="0026538E" w:rsidRDefault="0026538E" w:rsidP="000F69F1">
      <w:pPr>
        <w:pStyle w:val="Akapitzlist"/>
        <w:numPr>
          <w:ilvl w:val="0"/>
          <w:numId w:val="3"/>
        </w:numPr>
        <w:spacing w:after="120" w:line="276" w:lineRule="auto"/>
        <w:jc w:val="both"/>
        <w:rPr>
          <w:rFonts w:asciiTheme="minorHAnsi" w:hAnsiTheme="minorHAnsi" w:cstheme="minorHAnsi"/>
        </w:rPr>
      </w:pPr>
      <w:r>
        <w:rPr>
          <w:rFonts w:asciiTheme="minorHAnsi" w:hAnsiTheme="minorHAnsi" w:cstheme="minorHAnsi"/>
        </w:rPr>
        <w:t>n</w:t>
      </w:r>
      <w:r w:rsidR="00743B95" w:rsidRPr="0026538E">
        <w:rPr>
          <w:rFonts w:asciiTheme="minorHAnsi" w:hAnsiTheme="minorHAnsi" w:cstheme="minorHAnsi"/>
        </w:rPr>
        <w:t xml:space="preserve">ie mogą one bezpośrednio nakłaniać małoletnich do kupna lub najmu produktu lub usługi, wykorzystując ich brak doświadczenia lub łatwowierność, nie mogą bezpośrednio zachęcać małoletnich, by przekonali rodziców lub osoby trzecie do kupna reklamowanych produktów lub usług, nie mogą wykorzystywać szczególnego zaufania, którym małoletni darzą rodziców, nauczycieli lub inne osoby, ani nie mogą bez uzasadnienia pokazywać małoletnich w niebezpiecznych sytuacjach.  </w:t>
      </w:r>
    </w:p>
    <w:p w14:paraId="7D90C858" w14:textId="77777777" w:rsidR="006328C6" w:rsidRPr="006B0709" w:rsidRDefault="006328C6" w:rsidP="000F69F1">
      <w:pPr>
        <w:spacing w:after="120" w:line="276" w:lineRule="auto"/>
        <w:jc w:val="both"/>
        <w:rPr>
          <w:rFonts w:asciiTheme="minorHAnsi" w:hAnsiTheme="minorHAnsi" w:cstheme="minorHAnsi"/>
          <w:u w:val="single"/>
        </w:rPr>
      </w:pPr>
      <w:r w:rsidRPr="006B0709">
        <w:rPr>
          <w:rFonts w:asciiTheme="minorHAnsi" w:hAnsiTheme="minorHAnsi" w:cstheme="minorHAnsi"/>
          <w:u w:val="single"/>
        </w:rPr>
        <w:t>Obowiązki państw członkowskich</w:t>
      </w:r>
    </w:p>
    <w:p w14:paraId="3662DE64" w14:textId="77777777" w:rsidR="006B0709" w:rsidRDefault="006B0709" w:rsidP="000F69F1">
      <w:pPr>
        <w:spacing w:after="120" w:line="276" w:lineRule="auto"/>
        <w:jc w:val="both"/>
        <w:rPr>
          <w:rFonts w:asciiTheme="minorHAnsi" w:hAnsiTheme="minorHAnsi" w:cstheme="minorHAnsi"/>
        </w:rPr>
      </w:pPr>
      <w:r>
        <w:rPr>
          <w:rFonts w:asciiTheme="minorHAnsi" w:hAnsiTheme="minorHAnsi" w:cstheme="minorHAnsi"/>
        </w:rPr>
        <w:t>P</w:t>
      </w:r>
      <w:r w:rsidR="006328C6">
        <w:rPr>
          <w:rFonts w:asciiTheme="minorHAnsi" w:hAnsiTheme="minorHAnsi" w:cstheme="minorHAnsi"/>
        </w:rPr>
        <w:t xml:space="preserve">aństwa członkowskie muszą ustanowić odpowiednie mechanizmy oceny odpowiedniości stosowanych przez dostawców VSP środków, a ocenę tych środków powierzyć krajowym organom regulacyjnym. </w:t>
      </w:r>
    </w:p>
    <w:p w14:paraId="09FA7713" w14:textId="2830C100" w:rsidR="0026538E" w:rsidRPr="000F69F1" w:rsidRDefault="0026538E" w:rsidP="0026538E">
      <w:pPr>
        <w:spacing w:after="120" w:line="276" w:lineRule="auto"/>
        <w:jc w:val="both"/>
        <w:rPr>
          <w:rFonts w:asciiTheme="minorHAnsi" w:hAnsiTheme="minorHAnsi" w:cstheme="minorHAnsi"/>
        </w:rPr>
      </w:pPr>
      <w:r w:rsidRPr="0026538E">
        <w:rPr>
          <w:rFonts w:asciiTheme="minorHAnsi" w:hAnsiTheme="minorHAnsi" w:cstheme="minorHAnsi"/>
        </w:rPr>
        <w:t xml:space="preserve">Zgodnie z art. 28a ust. 6 </w:t>
      </w:r>
      <w:r w:rsidR="00806C58">
        <w:rPr>
          <w:rFonts w:asciiTheme="minorHAnsi" w:hAnsiTheme="minorHAnsi" w:cstheme="minorHAnsi"/>
        </w:rPr>
        <w:t xml:space="preserve">DAUM </w:t>
      </w:r>
      <w:r w:rsidRPr="0026538E">
        <w:rPr>
          <w:rFonts w:asciiTheme="minorHAnsi" w:hAnsiTheme="minorHAnsi" w:cstheme="minorHAnsi"/>
        </w:rPr>
        <w:t>obowiązkiem państw członkowskich będzie m.in. sporządzanie i aktualizowanie wykazu dostawców VSP mających siedzibę na ich terytorium lub uznanych z</w:t>
      </w:r>
      <w:r w:rsidR="00806C58">
        <w:rPr>
          <w:rFonts w:asciiTheme="minorHAnsi" w:hAnsiTheme="minorHAnsi" w:cstheme="minorHAnsi"/>
        </w:rPr>
        <w:t>a</w:t>
      </w:r>
      <w:r w:rsidR="00396326">
        <w:rPr>
          <w:rFonts w:asciiTheme="minorHAnsi" w:hAnsiTheme="minorHAnsi" w:cstheme="minorHAnsi"/>
        </w:rPr>
        <w:t xml:space="preserve"> mających</w:t>
      </w:r>
      <w:r w:rsidRPr="0026538E">
        <w:rPr>
          <w:rFonts w:asciiTheme="minorHAnsi" w:hAnsiTheme="minorHAnsi" w:cstheme="minorHAnsi"/>
        </w:rPr>
        <w:t xml:space="preserve"> siedzibę na ich terytorium wraz ze wskazaniem kryteriów jurysdykcji oraz przekazanie tego wykazu i jego aktualizacji Komisji Europejskiej.</w:t>
      </w:r>
      <w:r w:rsidRPr="000F69F1">
        <w:rPr>
          <w:rFonts w:asciiTheme="minorHAnsi" w:hAnsiTheme="minorHAnsi" w:cstheme="minorHAnsi"/>
        </w:rPr>
        <w:t xml:space="preserve">   </w:t>
      </w:r>
    </w:p>
    <w:p w14:paraId="498CA912" w14:textId="77777777" w:rsidR="00BB3DF7" w:rsidRPr="000F69F1" w:rsidRDefault="006B0709" w:rsidP="0026538E">
      <w:pPr>
        <w:spacing w:after="120" w:line="276" w:lineRule="auto"/>
        <w:jc w:val="both"/>
        <w:rPr>
          <w:rFonts w:asciiTheme="minorHAnsi" w:hAnsiTheme="minorHAnsi" w:cstheme="minorHAnsi"/>
        </w:rPr>
      </w:pPr>
      <w:bookmarkStart w:id="0" w:name="_GoBack"/>
      <w:bookmarkEnd w:id="0"/>
      <w:r>
        <w:rPr>
          <w:rFonts w:asciiTheme="minorHAnsi" w:hAnsiTheme="minorHAnsi" w:cstheme="minorHAnsi"/>
        </w:rPr>
        <w:t>Do celów wdrażania stosowanych przez dostawców VSP środków, państwa członkowskie mają zachęcać do stosowania współregulacji.</w:t>
      </w:r>
    </w:p>
    <w:sectPr w:rsidR="00BB3DF7" w:rsidRPr="000F6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353A" w14:textId="77777777" w:rsidR="00DA3476" w:rsidRDefault="00DA3476" w:rsidP="00743B95">
      <w:r>
        <w:separator/>
      </w:r>
    </w:p>
  </w:endnote>
  <w:endnote w:type="continuationSeparator" w:id="0">
    <w:p w14:paraId="50DFAE11" w14:textId="77777777" w:rsidR="00DA3476" w:rsidRDefault="00DA3476" w:rsidP="0074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D76A" w14:textId="77777777" w:rsidR="00DA3476" w:rsidRDefault="00DA3476" w:rsidP="00743B95">
      <w:r>
        <w:separator/>
      </w:r>
    </w:p>
  </w:footnote>
  <w:footnote w:type="continuationSeparator" w:id="0">
    <w:p w14:paraId="7F902F49" w14:textId="77777777" w:rsidR="00DA3476" w:rsidRDefault="00DA3476" w:rsidP="00743B95">
      <w:r>
        <w:continuationSeparator/>
      </w:r>
    </w:p>
  </w:footnote>
  <w:footnote w:id="1">
    <w:p w14:paraId="343EF2A7" w14:textId="77777777" w:rsidR="006328C6" w:rsidRDefault="006328C6" w:rsidP="006328C6">
      <w:pPr>
        <w:pStyle w:val="Tekstprzypisudolnego"/>
      </w:pPr>
      <w:r>
        <w:rPr>
          <w:rStyle w:val="Odwoanieprzypisudolnego"/>
        </w:rPr>
        <w:footnoteRef/>
      </w:r>
      <w:r>
        <w:t xml:space="preserve"> Pełny katalog obowiązków dostawców VSP </w:t>
      </w:r>
      <w:r w:rsidR="006B0709">
        <w:t xml:space="preserve">i obowiązków państw członkowskich w tym zakresie </w:t>
      </w:r>
      <w:r>
        <w:t xml:space="preserve">zawarty jest w rozdziale IXA DAUM „Przepisy mające zastosowanie do usług platform udostępniania wideo”.  </w:t>
      </w:r>
    </w:p>
  </w:footnote>
  <w:footnote w:id="2">
    <w:p w14:paraId="6DEFC5B6" w14:textId="5AE12842" w:rsidR="006328C6" w:rsidRDefault="006328C6">
      <w:pPr>
        <w:pStyle w:val="Tekstprzypisudolnego"/>
      </w:pPr>
      <w:r>
        <w:rPr>
          <w:rStyle w:val="Odwoanieprzypisudolnego"/>
        </w:rPr>
        <w:footnoteRef/>
      </w:r>
      <w:r>
        <w:t xml:space="preserve"> Środki te zosta</w:t>
      </w:r>
      <w:r w:rsidR="00806C58">
        <w:t>ły wymienione w art. 28b ust. 3 DAUM.</w:t>
      </w:r>
    </w:p>
  </w:footnote>
  <w:footnote w:id="3">
    <w:p w14:paraId="2280B72D" w14:textId="77777777" w:rsidR="00743B95" w:rsidRDefault="00743B95">
      <w:pPr>
        <w:pStyle w:val="Tekstprzypisudolnego"/>
      </w:pPr>
      <w:r>
        <w:rPr>
          <w:rStyle w:val="Odwoanieprzypisudolnego"/>
        </w:rPr>
        <w:footnoteRef/>
      </w:r>
      <w:r>
        <w:t xml:space="preserve"> W przypadku przekazów handlowych, których dostawcy VSP nie promują, nie sprzedają i nie umieszczają, </w:t>
      </w:r>
      <w:r w:rsidR="006F0861">
        <w:t>ze względu na ograniczoną kontrolę dostawców nad tymi przekazami, są oni jedynie zobowiązani do stosowania odpowiednich środków w celu przestrzegania wymogów określonych w art. 9 ust. 1 DAUM.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17CCB"/>
    <w:multiLevelType w:val="hybridMultilevel"/>
    <w:tmpl w:val="25520F56"/>
    <w:lvl w:ilvl="0" w:tplc="20B40A00">
      <w:start w:val="1"/>
      <w:numFmt w:val="decimal"/>
      <w:lvlText w:val="(%1)"/>
      <w:lvlJc w:val="left"/>
      <w:pPr>
        <w:ind w:left="1098" w:hanging="39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9DF04E5"/>
    <w:multiLevelType w:val="hybridMultilevel"/>
    <w:tmpl w:val="E076D1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5D502137"/>
    <w:multiLevelType w:val="hybridMultilevel"/>
    <w:tmpl w:val="F73C725C"/>
    <w:lvl w:ilvl="0" w:tplc="16284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3EE"/>
    <w:rsid w:val="00041F4B"/>
    <w:rsid w:val="000F69F1"/>
    <w:rsid w:val="001C743E"/>
    <w:rsid w:val="0026538E"/>
    <w:rsid w:val="00296117"/>
    <w:rsid w:val="00396326"/>
    <w:rsid w:val="0039671D"/>
    <w:rsid w:val="003D2F70"/>
    <w:rsid w:val="004B4CD0"/>
    <w:rsid w:val="00505B1F"/>
    <w:rsid w:val="005D6580"/>
    <w:rsid w:val="006328C6"/>
    <w:rsid w:val="00641A93"/>
    <w:rsid w:val="006A3FE4"/>
    <w:rsid w:val="006B0709"/>
    <w:rsid w:val="006F0861"/>
    <w:rsid w:val="00743B95"/>
    <w:rsid w:val="007A31E0"/>
    <w:rsid w:val="007B689B"/>
    <w:rsid w:val="00806C58"/>
    <w:rsid w:val="00A67130"/>
    <w:rsid w:val="00BB3DF7"/>
    <w:rsid w:val="00D32E7E"/>
    <w:rsid w:val="00DA3476"/>
    <w:rsid w:val="00DC1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7ED4"/>
  <w15:docId w15:val="{D55E579C-B381-4CAF-B0CF-4899C87A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C13E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43B95"/>
    <w:rPr>
      <w:sz w:val="20"/>
      <w:szCs w:val="20"/>
    </w:rPr>
  </w:style>
  <w:style w:type="character" w:customStyle="1" w:styleId="TekstprzypisudolnegoZnak">
    <w:name w:val="Tekst przypisu dolnego Znak"/>
    <w:basedOn w:val="Domylnaczcionkaakapitu"/>
    <w:link w:val="Tekstprzypisudolnego"/>
    <w:uiPriority w:val="99"/>
    <w:semiHidden/>
    <w:rsid w:val="00743B95"/>
    <w:rPr>
      <w:rFonts w:ascii="Calibri" w:hAnsi="Calibri" w:cs="Calibri"/>
      <w:sz w:val="20"/>
      <w:szCs w:val="20"/>
    </w:rPr>
  </w:style>
  <w:style w:type="character" w:styleId="Odwoanieprzypisudolnego">
    <w:name w:val="footnote reference"/>
    <w:basedOn w:val="Domylnaczcionkaakapitu"/>
    <w:uiPriority w:val="99"/>
    <w:semiHidden/>
    <w:unhideWhenUsed/>
    <w:rsid w:val="00743B95"/>
    <w:rPr>
      <w:vertAlign w:val="superscript"/>
    </w:rPr>
  </w:style>
  <w:style w:type="paragraph" w:styleId="Akapitzlist">
    <w:name w:val="List Paragraph"/>
    <w:basedOn w:val="Normalny"/>
    <w:uiPriority w:val="34"/>
    <w:qFormat/>
    <w:rsid w:val="000F6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9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A63B-DF0D-4A3A-B212-3FC3A9D7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791</Words>
  <Characters>4748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Murawska Ewa</dc:creator>
  <cp:keywords/>
  <dc:description/>
  <cp:lastModifiedBy>Murawska Ewa</cp:lastModifiedBy>
  <cp:revision>7</cp:revision>
  <cp:lastPrinted>2019-10-28T12:04:00Z</cp:lastPrinted>
  <dcterms:created xsi:type="dcterms:W3CDTF">2019-10-28T13:13:00Z</dcterms:created>
  <dcterms:modified xsi:type="dcterms:W3CDTF">2019-10-30T08:16:00Z</dcterms:modified>
</cp:coreProperties>
</file>