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20" w:rsidRPr="00851725" w:rsidRDefault="00E27920">
      <w:pPr>
        <w:rPr>
          <w:lang w:val="pl-PL"/>
        </w:rPr>
      </w:pPr>
      <w:bookmarkStart w:id="0" w:name="_GoBack"/>
      <w:bookmarkEnd w:id="0"/>
    </w:p>
    <w:tbl>
      <w:tblPr>
        <w:tblW w:w="5004" w:type="pct"/>
        <w:tblLook w:val="04A0" w:firstRow="1" w:lastRow="0" w:firstColumn="1" w:lastColumn="0" w:noHBand="0" w:noVBand="1"/>
      </w:tblPr>
      <w:tblGrid>
        <w:gridCol w:w="5740"/>
        <w:gridCol w:w="3888"/>
      </w:tblGrid>
      <w:tr w:rsidR="002045B9" w:rsidRPr="00851725" w:rsidTr="0041404E">
        <w:trPr>
          <w:trHeight w:hRule="exact" w:val="2268"/>
        </w:trPr>
        <w:tc>
          <w:tcPr>
            <w:tcW w:w="2981" w:type="pct"/>
            <w:shd w:val="clear" w:color="auto" w:fill="auto"/>
          </w:tcPr>
          <w:p w:rsidR="002045B9" w:rsidRPr="00851725" w:rsidRDefault="00E27920" w:rsidP="0041404E">
            <w:pPr>
              <w:pStyle w:val="Nagwek"/>
              <w:rPr>
                <w:lang w:val="pl-PL"/>
              </w:rPr>
            </w:pPr>
            <w:r w:rsidRPr="00851725">
              <w:rPr>
                <w:lang w:val="pl-PL"/>
              </w:rPr>
              <w:t xml:space="preserve">Komitet Ekspertów </w:t>
            </w:r>
            <w:r w:rsidRPr="00851725">
              <w:rPr>
                <w:lang w:val="pl-PL"/>
              </w:rPr>
              <w:br/>
              <w:t xml:space="preserve">ds. ochrony dziennikarstwa </w:t>
            </w:r>
            <w:r w:rsidRPr="00851725">
              <w:rPr>
                <w:lang w:val="pl-PL"/>
              </w:rPr>
              <w:br/>
              <w:t xml:space="preserve">i bezpieczeństwa dziennikarzy </w:t>
            </w:r>
            <w:r w:rsidRPr="00851725">
              <w:rPr>
                <w:lang w:val="pl-PL"/>
              </w:rPr>
              <w:br/>
            </w:r>
            <w:r w:rsidR="002045B9" w:rsidRPr="00851725">
              <w:rPr>
                <w:lang w:val="pl-PL"/>
              </w:rPr>
              <w:t xml:space="preserve">(MSI-JO) </w:t>
            </w:r>
          </w:p>
          <w:p w:rsidR="002045B9" w:rsidRPr="00851725" w:rsidRDefault="002045B9" w:rsidP="0041404E">
            <w:pPr>
              <w:pStyle w:val="Nagwek"/>
              <w:rPr>
                <w:lang w:val="pl-PL"/>
              </w:rPr>
            </w:pPr>
          </w:p>
        </w:tc>
        <w:tc>
          <w:tcPr>
            <w:tcW w:w="2019" w:type="pct"/>
            <w:shd w:val="clear" w:color="auto" w:fill="auto"/>
          </w:tcPr>
          <w:p w:rsidR="002045B9" w:rsidRPr="00851725" w:rsidRDefault="002045B9" w:rsidP="0041404E">
            <w:pPr>
              <w:pStyle w:val="Nagwek"/>
              <w:jc w:val="right"/>
              <w:rPr>
                <w:lang w:val="pl-PL"/>
              </w:rPr>
            </w:pPr>
            <w:r w:rsidRPr="00851725">
              <w:rPr>
                <w:noProof/>
                <w:lang w:val="pl-PL" w:eastAsia="pl-PL"/>
              </w:rPr>
              <w:drawing>
                <wp:inline distT="0" distB="0" distL="0" distR="0" wp14:anchorId="27D2EC91" wp14:editId="61CA45F3">
                  <wp:extent cx="1444625" cy="1160145"/>
                  <wp:effectExtent l="0" t="0" r="0" b="0"/>
                  <wp:docPr id="1" name="Picture 1" descr="http://www.coe.int/documents/16695/995226/COE-Logo-Fil-BW.png/bb17a17e-5308-4fc0-929d-5c4baf3ab99d?t=1371222816000?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16695/995226/COE-Logo-Fil-BW.png/bb17a17e-5308-4fc0-929d-5c4baf3ab99d?t=1371222816000?t=1371222816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1160145"/>
                          </a:xfrm>
                          <a:prstGeom prst="rect">
                            <a:avLst/>
                          </a:prstGeom>
                          <a:noFill/>
                          <a:ln>
                            <a:noFill/>
                          </a:ln>
                        </pic:spPr>
                      </pic:pic>
                    </a:graphicData>
                  </a:graphic>
                </wp:inline>
              </w:drawing>
            </w:r>
          </w:p>
        </w:tc>
      </w:tr>
    </w:tbl>
    <w:p w:rsidR="002045B9" w:rsidRPr="00851725" w:rsidRDefault="002045B9" w:rsidP="002045B9">
      <w:pPr>
        <w:pStyle w:val="Bezodstpw"/>
        <w:jc w:val="right"/>
        <w:rPr>
          <w:lang w:val="pl-PL"/>
        </w:rPr>
      </w:pPr>
    </w:p>
    <w:p w:rsidR="002045B9" w:rsidRPr="00851725" w:rsidRDefault="002045B9" w:rsidP="002045B9">
      <w:pPr>
        <w:pStyle w:val="Bezodstpw"/>
        <w:jc w:val="right"/>
        <w:rPr>
          <w:lang w:val="pl-PL"/>
        </w:rPr>
      </w:pPr>
      <w:r w:rsidRPr="00851725">
        <w:rPr>
          <w:lang w:val="pl-PL"/>
        </w:rPr>
        <w:t>MSI-JO(2014)11rev</w:t>
      </w:r>
    </w:p>
    <w:p w:rsidR="002045B9" w:rsidRPr="00851725" w:rsidRDefault="002045B9" w:rsidP="002045B9">
      <w:pPr>
        <w:pStyle w:val="Bezodstpw"/>
        <w:jc w:val="right"/>
        <w:rPr>
          <w:lang w:val="pl-PL"/>
        </w:rPr>
      </w:pPr>
      <w:r w:rsidRPr="00851725">
        <w:rPr>
          <w:lang w:val="pl-PL"/>
        </w:rPr>
        <w:t xml:space="preserve">4 </w:t>
      </w:r>
      <w:r w:rsidR="00E27920" w:rsidRPr="00851725">
        <w:rPr>
          <w:lang w:val="pl-PL"/>
        </w:rPr>
        <w:t>listopada</w:t>
      </w:r>
      <w:r w:rsidRPr="00851725">
        <w:rPr>
          <w:lang w:val="pl-PL"/>
        </w:rPr>
        <w:t xml:space="preserve"> 2015</w:t>
      </w:r>
      <w:r w:rsidR="00E27920" w:rsidRPr="00851725">
        <w:rPr>
          <w:lang w:val="pl-PL"/>
        </w:rPr>
        <w:t xml:space="preserve"> r.</w:t>
      </w:r>
    </w:p>
    <w:p w:rsidR="002045B9" w:rsidRPr="00851725" w:rsidRDefault="002045B9" w:rsidP="002045B9">
      <w:pPr>
        <w:tabs>
          <w:tab w:val="left" w:pos="6804"/>
        </w:tabs>
        <w:jc w:val="right"/>
        <w:rPr>
          <w:lang w:val="pl-PL"/>
        </w:rPr>
      </w:pPr>
      <w:r w:rsidRPr="00851725">
        <w:rPr>
          <w:lang w:val="pl-PL"/>
        </w:rPr>
        <w:tab/>
      </w:r>
    </w:p>
    <w:p w:rsidR="000F4AFE" w:rsidRPr="00851725" w:rsidRDefault="000F4AFE" w:rsidP="000F4AFE">
      <w:pPr>
        <w:jc w:val="left"/>
        <w:rPr>
          <w:b/>
          <w:lang w:val="pl-PL"/>
        </w:rPr>
      </w:pPr>
      <w:r w:rsidRPr="00851725">
        <w:rPr>
          <w:b/>
          <w:lang w:val="pl-PL" w:eastAsia="fr-FR"/>
        </w:rPr>
        <w:t xml:space="preserve">Projekt zalecenia </w:t>
      </w:r>
      <w:r w:rsidR="002045B9" w:rsidRPr="00851725">
        <w:rPr>
          <w:b/>
          <w:lang w:val="pl-PL"/>
        </w:rPr>
        <w:t xml:space="preserve">CM/Rec(2015)__ </w:t>
      </w:r>
      <w:r w:rsidRPr="00851725">
        <w:rPr>
          <w:b/>
          <w:lang w:val="pl-PL" w:eastAsia="fr-FR"/>
        </w:rPr>
        <w:t>Komitetu Ministrów</w:t>
      </w:r>
      <w:r w:rsidR="000A129C">
        <w:rPr>
          <w:b/>
          <w:lang w:val="pl-PL" w:eastAsia="fr-FR"/>
        </w:rPr>
        <w:t xml:space="preserve"> dla państw członkowskich w </w:t>
      </w:r>
      <w:r w:rsidRPr="00851725">
        <w:rPr>
          <w:b/>
          <w:lang w:val="pl-PL" w:eastAsia="fr-FR"/>
        </w:rPr>
        <w:t>sprawie ochrony dziennikarstwa oraz bezpieczeństwa dziennikarzy i</w:t>
      </w:r>
      <w:r w:rsidR="000A129C">
        <w:rPr>
          <w:b/>
          <w:lang w:val="pl-PL" w:eastAsia="fr-FR"/>
        </w:rPr>
        <w:t xml:space="preserve"> innych osób zaangażowanych w </w:t>
      </w:r>
      <w:r w:rsidRPr="00851725">
        <w:rPr>
          <w:b/>
          <w:lang w:val="pl-PL" w:eastAsia="fr-FR"/>
        </w:rPr>
        <w:t>działalność medialną</w:t>
      </w:r>
    </w:p>
    <w:p w:rsidR="002045B9" w:rsidRPr="00851725" w:rsidRDefault="002045B9" w:rsidP="000F4AFE">
      <w:pPr>
        <w:pStyle w:val="Bezodstpw"/>
        <w:ind w:left="0"/>
        <w:jc w:val="both"/>
        <w:rPr>
          <w:i/>
          <w:lang w:val="pl-PL"/>
        </w:rPr>
      </w:pPr>
      <w:r w:rsidRPr="00851725">
        <w:rPr>
          <w:i/>
          <w:lang w:val="pl-PL"/>
        </w:rPr>
        <w:t>(</w:t>
      </w:r>
      <w:r w:rsidR="000F4AFE" w:rsidRPr="00851725">
        <w:rPr>
          <w:i/>
          <w:lang w:val="pl-PL"/>
        </w:rPr>
        <w:t xml:space="preserve">przyjęty przez Komitet Ministrów dnia </w:t>
      </w:r>
      <w:r w:rsidRPr="00851725">
        <w:rPr>
          <w:i/>
          <w:lang w:val="pl-PL"/>
        </w:rPr>
        <w:t>____ 2015</w:t>
      </w:r>
      <w:r w:rsidR="000F4AFE" w:rsidRPr="00851725">
        <w:rPr>
          <w:i/>
          <w:lang w:val="pl-PL"/>
        </w:rPr>
        <w:t xml:space="preserve"> r. na</w:t>
      </w:r>
      <w:r w:rsidRPr="00851725">
        <w:rPr>
          <w:i/>
          <w:lang w:val="pl-PL"/>
        </w:rPr>
        <w:t xml:space="preserve"> </w:t>
      </w:r>
      <w:r w:rsidR="000F4AFE" w:rsidRPr="00851725">
        <w:rPr>
          <w:i/>
          <w:lang w:val="pl-PL"/>
        </w:rPr>
        <w:t>___.</w:t>
      </w:r>
      <w:r w:rsidRPr="00851725">
        <w:rPr>
          <w:i/>
          <w:lang w:val="pl-PL"/>
        </w:rPr>
        <w:t xml:space="preserve"> </w:t>
      </w:r>
      <w:r w:rsidR="000F4AFE" w:rsidRPr="00851725">
        <w:rPr>
          <w:i/>
          <w:lang w:val="pl-PL"/>
        </w:rPr>
        <w:t>posiedzeniu</w:t>
      </w:r>
      <w:r w:rsidRPr="00851725">
        <w:rPr>
          <w:i/>
          <w:lang w:val="pl-PL"/>
        </w:rPr>
        <w:t xml:space="preserve"> </w:t>
      </w:r>
      <w:r w:rsidR="000F4AFE" w:rsidRPr="00851725">
        <w:rPr>
          <w:i/>
          <w:lang w:val="pl-PL"/>
        </w:rPr>
        <w:t>Zastępców Ministrów</w:t>
      </w:r>
      <w:r w:rsidRPr="00851725">
        <w:rPr>
          <w:i/>
          <w:lang w:val="pl-PL"/>
        </w:rPr>
        <w:t>)</w:t>
      </w:r>
    </w:p>
    <w:p w:rsidR="000F4AFE" w:rsidRPr="00851725" w:rsidRDefault="002045B9" w:rsidP="002045B9">
      <w:pPr>
        <w:tabs>
          <w:tab w:val="left" w:pos="709"/>
        </w:tabs>
        <w:rPr>
          <w:lang w:val="pl-PL" w:eastAsia="fr-FR"/>
        </w:rPr>
      </w:pPr>
      <w:r w:rsidRPr="00851725">
        <w:rPr>
          <w:lang w:val="pl-PL" w:eastAsia="fr-FR"/>
        </w:rPr>
        <w:t>1.</w:t>
      </w:r>
      <w:r w:rsidRPr="00851725">
        <w:rPr>
          <w:lang w:val="pl-PL" w:eastAsia="fr-FR"/>
        </w:rPr>
        <w:tab/>
      </w:r>
      <w:r w:rsidR="000F4AFE" w:rsidRPr="00851725">
        <w:rPr>
          <w:lang w:val="pl-PL" w:eastAsia="fr-FR"/>
        </w:rPr>
        <w:t xml:space="preserve">Niepokój i sprzeciw budzi fakt, że dziennikarze i inne osoby zaangażowane w działalność medialną w Europie stają się coraz częściej </w:t>
      </w:r>
      <w:r w:rsidR="006E51B4">
        <w:rPr>
          <w:lang w:val="pl-PL" w:eastAsia="fr-FR"/>
        </w:rPr>
        <w:t>przedmiotem gróźb, zastraszania i</w:t>
      </w:r>
      <w:r w:rsidR="000F4AFE" w:rsidRPr="00851725">
        <w:rPr>
          <w:lang w:val="pl-PL" w:eastAsia="fr-FR"/>
        </w:rPr>
        <w:t xml:space="preserve"> inwigilacji, są arbitralnie</w:t>
      </w:r>
      <w:r w:rsidR="006E51B4">
        <w:rPr>
          <w:lang w:val="pl-PL" w:eastAsia="fr-FR"/>
        </w:rPr>
        <w:t xml:space="preserve"> pozbawian</w:t>
      </w:r>
      <w:r w:rsidR="000A129C">
        <w:rPr>
          <w:lang w:val="pl-PL" w:eastAsia="fr-FR"/>
        </w:rPr>
        <w:t>e wolności, atakowane fizycznie, torturowane, a nawet zabijane</w:t>
      </w:r>
      <w:r w:rsidR="000F4AFE" w:rsidRPr="00851725">
        <w:rPr>
          <w:lang w:val="pl-PL" w:eastAsia="fr-FR"/>
        </w:rPr>
        <w:t xml:space="preserve"> z powodu prowadzonych śledztw dziennikarsk</w:t>
      </w:r>
      <w:r w:rsidR="000A129C">
        <w:rPr>
          <w:lang w:val="pl-PL" w:eastAsia="fr-FR"/>
        </w:rPr>
        <w:t>ich, wyrażanych opinii lub pracy reporterskiej</w:t>
      </w:r>
      <w:r w:rsidR="000F4AFE" w:rsidRPr="00851725">
        <w:rPr>
          <w:lang w:val="pl-PL" w:eastAsia="fr-FR"/>
        </w:rPr>
        <w:t>. Działania takie są szczególnie rozpowszechnione, gdy ich praca skupia się na nadużyciach władzy, korupcji, naruszeniach praw człowieka, przestępczości, terroryzmie i fundamentalizmie. Takie nadużycia i przestępstwa zostały obszernie udokumentowane w wiarygodnych raportach publikowanych przez media, organizacje pozarządowe i obrońców praw człowieka.</w:t>
      </w:r>
    </w:p>
    <w:p w:rsidR="000F4AFE" w:rsidRPr="00851725" w:rsidRDefault="002045B9" w:rsidP="002045B9">
      <w:pPr>
        <w:tabs>
          <w:tab w:val="left" w:pos="709"/>
        </w:tabs>
        <w:rPr>
          <w:lang w:val="pl-PL"/>
        </w:rPr>
      </w:pPr>
      <w:r w:rsidRPr="00851725">
        <w:rPr>
          <w:lang w:val="pl-PL"/>
        </w:rPr>
        <w:t>2.</w:t>
      </w:r>
      <w:r w:rsidRPr="00851725">
        <w:rPr>
          <w:lang w:val="pl-PL"/>
        </w:rPr>
        <w:tab/>
      </w:r>
      <w:r w:rsidR="00533B77" w:rsidRPr="00851725">
        <w:rPr>
          <w:lang w:val="pl-PL"/>
        </w:rPr>
        <w:t xml:space="preserve">Dziennikarze i inne osoby prowadzące działalność medialną są często przedmiotem ataków w związku ze swoją płcią, tożsamością płciową, orientacją seksualną, tożsamością etniczną, przynależnością do mniejszości, </w:t>
      </w:r>
      <w:r w:rsidR="00174186">
        <w:rPr>
          <w:lang w:val="pl-PL"/>
        </w:rPr>
        <w:t>wyznaniem</w:t>
      </w:r>
      <w:r w:rsidR="00533B77" w:rsidRPr="00851725">
        <w:rPr>
          <w:lang w:val="pl-PL"/>
        </w:rPr>
        <w:t xml:space="preserve"> lub innymi szczególnymi cechami wyróżniającymi, które narażają </w:t>
      </w:r>
      <w:r w:rsidR="000A129C">
        <w:rPr>
          <w:lang w:val="pl-PL"/>
        </w:rPr>
        <w:t>je</w:t>
      </w:r>
      <w:r w:rsidR="00533B77" w:rsidRPr="00851725">
        <w:rPr>
          <w:lang w:val="pl-PL"/>
        </w:rPr>
        <w:t xml:space="preserve"> na dyskryminację i zagrożenia podczas wykonywania pracy. Dziennikarki i inne kobiet</w:t>
      </w:r>
      <w:r w:rsidR="006E51B4">
        <w:rPr>
          <w:lang w:val="pl-PL"/>
        </w:rPr>
        <w:t>y</w:t>
      </w:r>
      <w:r w:rsidR="00533B77" w:rsidRPr="00851725">
        <w:rPr>
          <w:lang w:val="pl-PL"/>
        </w:rPr>
        <w:t xml:space="preserve"> zaangażowane w działalność medialną są szczególnie narażone na niebezpieczeństwa związane z płcią, m.in. </w:t>
      </w:r>
      <w:r w:rsidR="00174186">
        <w:rPr>
          <w:lang w:val="pl-PL"/>
        </w:rPr>
        <w:t>ataki z pobudek seksistowskich, mizoginistycznych</w:t>
      </w:r>
      <w:r w:rsidR="00533B77" w:rsidRPr="00851725">
        <w:rPr>
          <w:lang w:val="pl-PL"/>
        </w:rPr>
        <w:t xml:space="preserve"> lub </w:t>
      </w:r>
      <w:r w:rsidR="00E84AEF">
        <w:rPr>
          <w:lang w:val="pl-PL"/>
        </w:rPr>
        <w:t>mające na celu poniżenie</w:t>
      </w:r>
      <w:r w:rsidR="00174186">
        <w:rPr>
          <w:lang w:val="pl-PL"/>
        </w:rPr>
        <w:t xml:space="preserve"> drugiej osoby</w:t>
      </w:r>
      <w:r w:rsidR="00533B77" w:rsidRPr="00851725">
        <w:rPr>
          <w:lang w:val="pl-PL"/>
        </w:rPr>
        <w:t xml:space="preserve">. </w:t>
      </w:r>
      <w:r w:rsidR="000A129C">
        <w:rPr>
          <w:lang w:val="pl-PL"/>
        </w:rPr>
        <w:t>Stają się</w:t>
      </w:r>
      <w:r w:rsidR="00324B36" w:rsidRPr="00851725">
        <w:rPr>
          <w:lang w:val="pl-PL"/>
        </w:rPr>
        <w:t xml:space="preserve"> </w:t>
      </w:r>
      <w:r w:rsidR="000A129C">
        <w:rPr>
          <w:lang w:val="pl-PL"/>
        </w:rPr>
        <w:t xml:space="preserve">one </w:t>
      </w:r>
      <w:r w:rsidR="00324B36" w:rsidRPr="00851725">
        <w:rPr>
          <w:lang w:val="pl-PL"/>
        </w:rPr>
        <w:t>także przedmiotem gróźb, zastraszania, nękania oraz agresji i przemocy seksualnej. Taka przemoc coraz częściej ma miejsce w przestrzeni wirtualnej. Sytuacja ta wymaga pilnych, zdecydowanych i systemowych reakcji.</w:t>
      </w:r>
    </w:p>
    <w:p w:rsidR="00324B36" w:rsidRPr="00851725" w:rsidRDefault="002045B9" w:rsidP="002045B9">
      <w:pPr>
        <w:tabs>
          <w:tab w:val="left" w:pos="709"/>
        </w:tabs>
        <w:rPr>
          <w:lang w:val="pl-PL"/>
        </w:rPr>
      </w:pPr>
      <w:r w:rsidRPr="00851725">
        <w:rPr>
          <w:lang w:val="pl-PL"/>
        </w:rPr>
        <w:t>3.</w:t>
      </w:r>
      <w:r w:rsidRPr="00851725">
        <w:rPr>
          <w:lang w:val="pl-PL"/>
        </w:rPr>
        <w:tab/>
      </w:r>
      <w:r w:rsidR="00324B36" w:rsidRPr="00851725">
        <w:rPr>
          <w:lang w:val="pl-PL"/>
        </w:rPr>
        <w:t>Opisane powyżej nadużycia i przestępstwa, które w praktyce są popełniane przez organy rządowe lub podmioty pozarządowe, mają negatywny wpływ na wolność wyrażania poglądów, którą gwar</w:t>
      </w:r>
      <w:r w:rsidR="00EB50C8">
        <w:rPr>
          <w:lang w:val="pl-PL"/>
        </w:rPr>
        <w:t>antuje artykuł 10 Europejskiej k</w:t>
      </w:r>
      <w:r w:rsidR="00324B36" w:rsidRPr="00851725">
        <w:rPr>
          <w:lang w:val="pl-PL"/>
        </w:rPr>
        <w:t xml:space="preserve">onwencji </w:t>
      </w:r>
      <w:r w:rsidR="00174186">
        <w:rPr>
          <w:lang w:val="pl-PL"/>
        </w:rPr>
        <w:t xml:space="preserve">o ochronie praw </w:t>
      </w:r>
      <w:r w:rsidR="00EB50C8">
        <w:rPr>
          <w:lang w:val="pl-PL"/>
        </w:rPr>
        <w:t>c</w:t>
      </w:r>
      <w:r w:rsidR="00324B36" w:rsidRPr="00851725">
        <w:rPr>
          <w:lang w:val="pl-PL"/>
        </w:rPr>
        <w:t xml:space="preserve">złowieka, m.in. na możliwość uzyskiwania informacji, kontrolną rolę dziennikarzy i innych osób zaangażowanych w działalność medialną oraz na prowadzenie otwartej i żywej debaty publicznej. Wolność podejmowania takich działań stanowi fundament demokratycznego społeczeństwa. Takim przestępstwom i nadużyciom często towarzyszą niedostateczne wysiłki </w:t>
      </w:r>
      <w:r w:rsidR="00324B36" w:rsidRPr="00851725">
        <w:rPr>
          <w:lang w:val="pl-PL"/>
        </w:rPr>
        <w:lastRenderedPageBreak/>
        <w:t>ze strony właściwych organów państwa w celu pociągnięcia sprawców do odpowiedzialności. Prowadzi to do powszechnego poczucia bezkarności i może podsycać dalsze groźby i przemoc oraz podważać społeczne zaufanie do przepisów prawa.</w:t>
      </w:r>
    </w:p>
    <w:p w:rsidR="00324B36" w:rsidRPr="00851725" w:rsidRDefault="002045B9" w:rsidP="002045B9">
      <w:pPr>
        <w:tabs>
          <w:tab w:val="left" w:pos="709"/>
        </w:tabs>
        <w:rPr>
          <w:lang w:val="pl-PL"/>
        </w:rPr>
      </w:pPr>
      <w:r w:rsidRPr="00851725">
        <w:rPr>
          <w:lang w:val="pl-PL"/>
        </w:rPr>
        <w:t>4.</w:t>
      </w:r>
      <w:r w:rsidRPr="00851725">
        <w:rPr>
          <w:lang w:val="pl-PL"/>
        </w:rPr>
        <w:tab/>
      </w:r>
      <w:r w:rsidR="00324B36" w:rsidRPr="00851725">
        <w:rPr>
          <w:lang w:val="pl-PL"/>
        </w:rPr>
        <w:t xml:space="preserve">Ta niepokojąca sytuacja nie ogranicza się wyłącznie do zawodowych dziennikarzy i innych osób zaangażowanych w tradycyjne media. Jak zauważył Europejski Trybunał Praw Człowieka oraz wiele organizacji międzyrządowych, m.in. Organizacja Praw Człowieka w ramach Planu działania w sprawie bezpieczeństwa dziennikarzy i problemu bezkarności i w Komentarzu ogólnym w sprawie praw człowieka nr 34, zakres podmiotów uczestniczących w działalności medialnej rozszerzył się w wyniku powstania nowych form mediów </w:t>
      </w:r>
      <w:r w:rsidR="00632A81" w:rsidRPr="00851725">
        <w:rPr>
          <w:lang w:val="pl-PL"/>
        </w:rPr>
        <w:t>w erze cyfrowej. Z tego względu sytuacja ta dotyka także inne osoby, które uczestniczą w debacie publicznej i które wykonują pracę dziennikarzy lub funkcję nadzoru publicznego nad działalnością władz.</w:t>
      </w:r>
    </w:p>
    <w:p w:rsidR="00632A81" w:rsidRPr="00851725" w:rsidRDefault="002045B9" w:rsidP="002045B9">
      <w:pPr>
        <w:tabs>
          <w:tab w:val="left" w:pos="709"/>
        </w:tabs>
        <w:rPr>
          <w:lang w:val="pl-PL"/>
        </w:rPr>
      </w:pPr>
      <w:r w:rsidRPr="00851725">
        <w:rPr>
          <w:lang w:val="pl-PL"/>
        </w:rPr>
        <w:t>5.</w:t>
      </w:r>
      <w:r w:rsidRPr="00851725">
        <w:rPr>
          <w:lang w:val="pl-PL"/>
        </w:rPr>
        <w:tab/>
      </w:r>
      <w:r w:rsidR="00632A81" w:rsidRPr="00851725">
        <w:rPr>
          <w:lang w:val="pl-PL"/>
        </w:rPr>
        <w:t xml:space="preserve">Biorąc pod uwagę skalę i powagę gróźb i ataków wobec dziennikarzy i innych osób prowadzących działalność dziennikarską w Europie i niszczący wpływ </w:t>
      </w:r>
      <w:r w:rsidR="005221E7">
        <w:rPr>
          <w:lang w:val="pl-PL"/>
        </w:rPr>
        <w:t xml:space="preserve">takich czynów </w:t>
      </w:r>
      <w:r w:rsidR="00632A81" w:rsidRPr="00851725">
        <w:rPr>
          <w:lang w:val="pl-PL"/>
        </w:rPr>
        <w:t xml:space="preserve">na funkcjonowanie demokratycznego społeczeństwa, konieczne jest podjęcie dalekosiężnych kroków na poziomie międzynarodowym i krajowym, aby wzmocnić ochronę dziennikarstwa oraz zapewnić bezpieczeństwo dziennikarzy i innych osób zaangażowanych w działalność medialną i wykorzenić bezkarność sprawców. Wspólnota międzynarodowa wielokrotnie podkreślała potrzebę skuteczniejszego wdrażania istniejących standardów międzynarodowych i regionalnych oraz </w:t>
      </w:r>
      <w:r w:rsidR="00516E38" w:rsidRPr="00851725">
        <w:rPr>
          <w:lang w:val="pl-PL"/>
        </w:rPr>
        <w:t>lepszego przestrzegania obecnych mechanizmów sprawozdawczych i podobnych inicjatyw. Ochrona dziennikarzy i innych osób uczes</w:t>
      </w:r>
      <w:r w:rsidR="005221E7">
        <w:rPr>
          <w:lang w:val="pl-PL"/>
        </w:rPr>
        <w:t>tniczących w działalności medialnej</w:t>
      </w:r>
      <w:r w:rsidR="00516E38" w:rsidRPr="00851725">
        <w:rPr>
          <w:lang w:val="pl-PL"/>
        </w:rPr>
        <w:t xml:space="preserve"> oraz zwalczanie bezkarności sprawców przestępstw </w:t>
      </w:r>
      <w:r w:rsidR="007B10E2">
        <w:rPr>
          <w:lang w:val="pl-PL"/>
        </w:rPr>
        <w:t>wymierzonych przeciwko takim osobom</w:t>
      </w:r>
      <w:r w:rsidR="00516E38" w:rsidRPr="00851725">
        <w:rPr>
          <w:lang w:val="pl-PL"/>
        </w:rPr>
        <w:t xml:space="preserve"> to pilne priorytety polityczne we wszystkich państwach członkowskich Rady Europy, jak stwierdza Deklaracja Komitetu Ministrów w s</w:t>
      </w:r>
      <w:r w:rsidR="00702AF6">
        <w:rPr>
          <w:lang w:val="pl-PL"/>
        </w:rPr>
        <w:t xml:space="preserve">prawie ochrony dziennikarstwa oraz </w:t>
      </w:r>
      <w:r w:rsidR="00516E38" w:rsidRPr="00851725">
        <w:rPr>
          <w:lang w:val="pl-PL"/>
        </w:rPr>
        <w:t>bezpieczeństwa dziennikarzy i innych osób zaangażowanych w działalność medialną.</w:t>
      </w:r>
    </w:p>
    <w:p w:rsidR="00516E38" w:rsidRPr="00851725" w:rsidRDefault="002045B9" w:rsidP="002045B9">
      <w:pPr>
        <w:tabs>
          <w:tab w:val="left" w:pos="709"/>
        </w:tabs>
        <w:rPr>
          <w:lang w:val="pl-PL"/>
        </w:rPr>
      </w:pPr>
      <w:r w:rsidRPr="00851725">
        <w:rPr>
          <w:lang w:val="pl-PL"/>
        </w:rPr>
        <w:t>6.</w:t>
      </w:r>
      <w:r w:rsidRPr="00851725">
        <w:rPr>
          <w:lang w:val="pl-PL"/>
        </w:rPr>
        <w:tab/>
      </w:r>
      <w:r w:rsidR="00516E38" w:rsidRPr="00851725">
        <w:rPr>
          <w:lang w:val="pl-PL"/>
        </w:rPr>
        <w:t>W celu stworzenia i zapewnienia środowiska sprzyjającego wolności wyrażania poglądów gwarantowa</w:t>
      </w:r>
      <w:r w:rsidR="005221E7">
        <w:rPr>
          <w:lang w:val="pl-PL"/>
        </w:rPr>
        <w:t>nej w artykule 10 Europejskiej k</w:t>
      </w:r>
      <w:r w:rsidR="00516E38" w:rsidRPr="00851725">
        <w:rPr>
          <w:lang w:val="pl-PL"/>
        </w:rPr>
        <w:t xml:space="preserve">onwencji </w:t>
      </w:r>
      <w:r w:rsidR="006E51B4">
        <w:rPr>
          <w:lang w:val="pl-PL"/>
        </w:rPr>
        <w:t xml:space="preserve">o ochronie praw </w:t>
      </w:r>
      <w:r w:rsidR="005221E7">
        <w:rPr>
          <w:lang w:val="pl-PL"/>
        </w:rPr>
        <w:t>c</w:t>
      </w:r>
      <w:r w:rsidR="00516E38" w:rsidRPr="00851725">
        <w:rPr>
          <w:lang w:val="pl-PL"/>
        </w:rPr>
        <w:t>złowieka, państwa muszą spełnić szereg pozytywnych obowiązków, które zostały określone i rozwinięte przez Europejski Trybunał Praw Człowieka oraz przedstawione w zasadach dołączonych do niniejszego zalecenia. Obowiązki takie muszą być wypełniane przez organy władzy wyko</w:t>
      </w:r>
      <w:r w:rsidR="005221E7">
        <w:rPr>
          <w:lang w:val="pl-PL"/>
        </w:rPr>
        <w:t>nawczej, ustawodawczej i sądowniczej</w:t>
      </w:r>
      <w:r w:rsidR="00516E38" w:rsidRPr="00851725">
        <w:rPr>
          <w:lang w:val="pl-PL"/>
        </w:rPr>
        <w:t xml:space="preserve"> oraz wszystkie inne władze państwowe, w tym organy odpowiedzialne za utrzymanie porządku publicznego i bezpieczeństw</w:t>
      </w:r>
      <w:r w:rsidR="005221E7">
        <w:rPr>
          <w:lang w:val="pl-PL"/>
        </w:rPr>
        <w:t>o narodowe</w:t>
      </w:r>
      <w:r w:rsidR="00516E38" w:rsidRPr="00851725">
        <w:rPr>
          <w:lang w:val="pl-PL"/>
        </w:rPr>
        <w:t xml:space="preserve"> na wszystkich poziomach – federalnym, krajowym, regionalnym i lokalnym.</w:t>
      </w:r>
    </w:p>
    <w:p w:rsidR="00516E38" w:rsidRPr="00851725" w:rsidRDefault="002045B9" w:rsidP="002045B9">
      <w:pPr>
        <w:tabs>
          <w:tab w:val="left" w:pos="709"/>
        </w:tabs>
        <w:rPr>
          <w:rFonts w:eastAsia="Calibri"/>
          <w:lang w:val="pl-PL"/>
        </w:rPr>
      </w:pPr>
      <w:r w:rsidRPr="00851725">
        <w:rPr>
          <w:rFonts w:eastAsia="Calibri"/>
          <w:lang w:val="pl-PL"/>
        </w:rPr>
        <w:t>7.</w:t>
      </w:r>
      <w:r w:rsidRPr="00851725">
        <w:rPr>
          <w:rFonts w:eastAsia="Calibri"/>
          <w:lang w:val="pl-PL"/>
        </w:rPr>
        <w:tab/>
      </w:r>
      <w:r w:rsidR="00516E38" w:rsidRPr="00851725">
        <w:rPr>
          <w:rFonts w:eastAsia="Calibri"/>
          <w:lang w:val="pl-PL"/>
        </w:rPr>
        <w:t>Zgodnie z postanowieniami artykułu 15 lit. b Statutu Rady Europy Komitet Ministrów zaleca, aby rządy pańs</w:t>
      </w:r>
      <w:r w:rsidR="005221E7">
        <w:rPr>
          <w:rFonts w:eastAsia="Calibri"/>
          <w:lang w:val="pl-PL"/>
        </w:rPr>
        <w:t xml:space="preserve">tw członkowskich, działając </w:t>
      </w:r>
      <w:r w:rsidR="00674BF6" w:rsidRPr="00851725">
        <w:rPr>
          <w:rFonts w:eastAsia="Calibri"/>
          <w:lang w:val="pl-PL"/>
        </w:rPr>
        <w:t>w trybie pilnym i z uwzględnieniem wszystkich zasad dołączonych do niniejszego zalecenia:</w:t>
      </w:r>
    </w:p>
    <w:p w:rsidR="00674BF6" w:rsidRPr="00851725" w:rsidRDefault="002045B9" w:rsidP="002045B9">
      <w:pPr>
        <w:pStyle w:val="Body1Indent"/>
        <w:numPr>
          <w:ilvl w:val="0"/>
          <w:numId w:val="0"/>
        </w:numPr>
        <w:tabs>
          <w:tab w:val="clear" w:pos="284"/>
          <w:tab w:val="clear" w:pos="851"/>
          <w:tab w:val="left" w:pos="709"/>
        </w:tabs>
        <w:ind w:left="709" w:hanging="709"/>
        <w:rPr>
          <w:rFonts w:eastAsia="Calibri"/>
          <w:color w:val="auto"/>
          <w:lang w:val="pl-PL"/>
        </w:rPr>
      </w:pPr>
      <w:r w:rsidRPr="00851725">
        <w:rPr>
          <w:rFonts w:eastAsia="Calibri"/>
          <w:color w:val="auto"/>
          <w:lang w:val="pl-PL"/>
        </w:rPr>
        <w:t>(i)</w:t>
      </w:r>
      <w:r w:rsidRPr="00851725">
        <w:rPr>
          <w:rFonts w:eastAsia="Calibri"/>
          <w:color w:val="auto"/>
          <w:lang w:val="pl-PL"/>
        </w:rPr>
        <w:tab/>
      </w:r>
      <w:r w:rsidR="00674BF6" w:rsidRPr="00851725">
        <w:rPr>
          <w:rFonts w:eastAsia="Calibri"/>
          <w:color w:val="auto"/>
          <w:lang w:val="pl-PL"/>
        </w:rPr>
        <w:t>spełniały zakres swoich obowiązków, zarówno pozytywnych jak i negatywnych, zgodnie z ich literą i duchem;</w:t>
      </w:r>
    </w:p>
    <w:p w:rsidR="00674BF6" w:rsidRPr="00851725" w:rsidRDefault="002045B9" w:rsidP="002045B9">
      <w:pPr>
        <w:pStyle w:val="Body1Indent"/>
        <w:numPr>
          <w:ilvl w:val="0"/>
          <w:numId w:val="0"/>
        </w:numPr>
        <w:tabs>
          <w:tab w:val="clear" w:pos="284"/>
          <w:tab w:val="clear" w:pos="851"/>
          <w:tab w:val="left" w:pos="709"/>
        </w:tabs>
        <w:ind w:left="709" w:hanging="709"/>
        <w:rPr>
          <w:rFonts w:eastAsia="Calibri"/>
          <w:color w:val="auto"/>
          <w:lang w:val="pl-PL"/>
        </w:rPr>
      </w:pPr>
      <w:r w:rsidRPr="00851725">
        <w:rPr>
          <w:rFonts w:eastAsia="Calibri"/>
          <w:color w:val="auto"/>
          <w:lang w:val="pl-PL"/>
        </w:rPr>
        <w:t>(ii)</w:t>
      </w:r>
      <w:r w:rsidRPr="00851725">
        <w:rPr>
          <w:rFonts w:eastAsia="Calibri"/>
          <w:color w:val="auto"/>
          <w:lang w:val="pl-PL"/>
        </w:rPr>
        <w:tab/>
      </w:r>
      <w:r w:rsidR="00674BF6" w:rsidRPr="00851725">
        <w:rPr>
          <w:rFonts w:eastAsia="Calibri"/>
          <w:color w:val="auto"/>
          <w:lang w:val="pl-PL"/>
        </w:rPr>
        <w:t>wdrożyły poniższe zalecenia za pośrednictwem wszystkich organów władz państwowych;</w:t>
      </w:r>
    </w:p>
    <w:p w:rsidR="00674BF6" w:rsidRPr="00851725" w:rsidRDefault="002045B9" w:rsidP="002045B9">
      <w:pPr>
        <w:pStyle w:val="Body1Indent"/>
        <w:numPr>
          <w:ilvl w:val="0"/>
          <w:numId w:val="0"/>
        </w:numPr>
        <w:tabs>
          <w:tab w:val="clear" w:pos="284"/>
          <w:tab w:val="clear" w:pos="851"/>
          <w:tab w:val="left" w:pos="709"/>
        </w:tabs>
        <w:ind w:left="709" w:hanging="709"/>
        <w:rPr>
          <w:color w:val="auto"/>
          <w:lang w:val="pl-PL"/>
        </w:rPr>
      </w:pPr>
      <w:r w:rsidRPr="00851725">
        <w:rPr>
          <w:color w:val="auto"/>
          <w:lang w:val="pl-PL"/>
        </w:rPr>
        <w:t>(iii)</w:t>
      </w:r>
      <w:r w:rsidRPr="00851725">
        <w:rPr>
          <w:color w:val="auto"/>
          <w:lang w:val="pl-PL"/>
        </w:rPr>
        <w:tab/>
      </w:r>
      <w:r w:rsidR="00674BF6" w:rsidRPr="00851725">
        <w:rPr>
          <w:color w:val="auto"/>
          <w:lang w:val="pl-PL"/>
        </w:rPr>
        <w:t>dokonały przeglądu właściwych przepisów i praktyk krajowych oraz wprowadziły ich niezbędne zmiany mające zapewnić spełnienie obowiązków pańs</w:t>
      </w:r>
      <w:r w:rsidR="005221E7">
        <w:rPr>
          <w:color w:val="auto"/>
          <w:lang w:val="pl-PL"/>
        </w:rPr>
        <w:t>tw wynikających z Europejskiej k</w:t>
      </w:r>
      <w:r w:rsidR="00674BF6" w:rsidRPr="00851725">
        <w:rPr>
          <w:color w:val="auto"/>
          <w:lang w:val="pl-PL"/>
        </w:rPr>
        <w:t xml:space="preserve">onwencji </w:t>
      </w:r>
      <w:r w:rsidR="006E51B4">
        <w:rPr>
          <w:color w:val="auto"/>
          <w:lang w:val="pl-PL"/>
        </w:rPr>
        <w:t xml:space="preserve">o ochronie </w:t>
      </w:r>
      <w:r w:rsidR="005221E7">
        <w:rPr>
          <w:color w:val="auto"/>
          <w:lang w:val="pl-PL"/>
        </w:rPr>
        <w:t>p</w:t>
      </w:r>
      <w:r w:rsidR="00674BF6" w:rsidRPr="00851725">
        <w:rPr>
          <w:color w:val="auto"/>
          <w:lang w:val="pl-PL"/>
        </w:rPr>
        <w:t xml:space="preserve">raw </w:t>
      </w:r>
      <w:r w:rsidR="005221E7">
        <w:rPr>
          <w:color w:val="auto"/>
          <w:lang w:val="pl-PL"/>
        </w:rPr>
        <w:t>c</w:t>
      </w:r>
      <w:r w:rsidR="00674BF6" w:rsidRPr="00851725">
        <w:rPr>
          <w:color w:val="auto"/>
          <w:lang w:val="pl-PL"/>
        </w:rPr>
        <w:t>złowieka;</w:t>
      </w:r>
    </w:p>
    <w:p w:rsidR="00674BF6" w:rsidRPr="00851725" w:rsidRDefault="002045B9" w:rsidP="002045B9">
      <w:pPr>
        <w:pStyle w:val="Body1Indent"/>
        <w:numPr>
          <w:ilvl w:val="0"/>
          <w:numId w:val="0"/>
        </w:numPr>
        <w:tabs>
          <w:tab w:val="clear" w:pos="284"/>
          <w:tab w:val="clear" w:pos="851"/>
          <w:tab w:val="left" w:pos="709"/>
        </w:tabs>
        <w:ind w:left="709" w:hanging="709"/>
        <w:rPr>
          <w:rFonts w:eastAsia="Calibri"/>
          <w:color w:val="auto"/>
          <w:lang w:val="pl-PL"/>
        </w:rPr>
      </w:pPr>
      <w:r w:rsidRPr="00851725">
        <w:rPr>
          <w:rFonts w:eastAsia="Calibri"/>
          <w:color w:val="auto"/>
          <w:lang w:val="pl-PL"/>
        </w:rPr>
        <w:t>(iv)</w:t>
      </w:r>
      <w:r w:rsidRPr="00851725">
        <w:rPr>
          <w:rFonts w:eastAsia="Calibri"/>
          <w:color w:val="auto"/>
          <w:lang w:val="pl-PL"/>
        </w:rPr>
        <w:tab/>
      </w:r>
      <w:r w:rsidR="00674BF6" w:rsidRPr="00851725">
        <w:rPr>
          <w:rFonts w:eastAsia="Calibri"/>
          <w:color w:val="auto"/>
          <w:lang w:val="pl-PL"/>
        </w:rPr>
        <w:t>upowszechniały cele niniejszego zalecenia na poziomie krajowym i współpracowały z wszystkimi zainteresowanymi stronami w celu spełniania takich celów.</w:t>
      </w:r>
    </w:p>
    <w:p w:rsidR="002045B9" w:rsidRPr="00851725" w:rsidRDefault="002045B9" w:rsidP="002045B9">
      <w:pPr>
        <w:spacing w:before="0" w:after="0"/>
        <w:jc w:val="left"/>
        <w:rPr>
          <w:lang w:val="pl-PL"/>
        </w:rPr>
      </w:pPr>
      <w:r w:rsidRPr="00851725">
        <w:rPr>
          <w:lang w:val="pl-PL"/>
        </w:rPr>
        <w:lastRenderedPageBreak/>
        <w:br w:type="page"/>
      </w:r>
    </w:p>
    <w:p w:rsidR="002045B9" w:rsidRPr="00851725" w:rsidRDefault="00674BF6" w:rsidP="002045B9">
      <w:pPr>
        <w:tabs>
          <w:tab w:val="left" w:pos="709"/>
        </w:tabs>
        <w:rPr>
          <w:rFonts w:eastAsia="SimSun"/>
          <w:b/>
          <w:lang w:val="pl-PL" w:eastAsia="zh-CN"/>
        </w:rPr>
      </w:pPr>
      <w:r w:rsidRPr="00851725">
        <w:rPr>
          <w:rFonts w:eastAsia="SimSun"/>
          <w:b/>
          <w:lang w:val="pl-PL" w:eastAsia="zh-CN"/>
        </w:rPr>
        <w:lastRenderedPageBreak/>
        <w:t>WYTYCZNE</w:t>
      </w:r>
    </w:p>
    <w:p w:rsidR="00674BF6" w:rsidRPr="00851725" w:rsidRDefault="00F83FA1" w:rsidP="002045B9">
      <w:pPr>
        <w:tabs>
          <w:tab w:val="left" w:pos="709"/>
        </w:tabs>
        <w:rPr>
          <w:rFonts w:eastAsia="SimSun"/>
          <w:lang w:val="pl-PL" w:eastAsia="zh-CN"/>
        </w:rPr>
      </w:pPr>
      <w:r w:rsidRPr="00851725">
        <w:rPr>
          <w:rFonts w:eastAsia="SimSun"/>
          <w:lang w:val="pl-PL" w:eastAsia="zh-CN"/>
        </w:rPr>
        <w:t xml:space="preserve">Poniższe zalecenia mają na celu spełnienie wielostronnego wyzwania, jakim jest zapewnienie skutecznej ochrony dziennikarstwa oraz bezpieczeństwa dziennikarzy i innych osób działających w mediach. Wymaga to od państw członkowskich wdrożenia spójnych i komplementarnych strategii. Wytyczne te opierają się na zasadach określonych w załączniku i stanowiących integralną część </w:t>
      </w:r>
      <w:r w:rsidR="00702AF6">
        <w:rPr>
          <w:rFonts w:eastAsia="SimSun"/>
          <w:lang w:val="pl-PL" w:eastAsia="zh-CN"/>
        </w:rPr>
        <w:t xml:space="preserve">niniejszego </w:t>
      </w:r>
      <w:r w:rsidRPr="00851725">
        <w:rPr>
          <w:rFonts w:eastAsia="SimSun"/>
          <w:lang w:val="pl-PL" w:eastAsia="zh-CN"/>
        </w:rPr>
        <w:t xml:space="preserve">zalecenia. Wytyczne zostały podzielone na cztery filary: zapobieganie, ochronę, ściganie sprawców (szczególnie w celu </w:t>
      </w:r>
      <w:r w:rsidR="005221E7">
        <w:rPr>
          <w:rFonts w:eastAsia="SimSun"/>
          <w:lang w:val="pl-PL" w:eastAsia="zh-CN"/>
        </w:rPr>
        <w:t>zwalczania</w:t>
      </w:r>
      <w:r w:rsidRPr="00851725">
        <w:rPr>
          <w:rFonts w:eastAsia="SimSun"/>
          <w:lang w:val="pl-PL" w:eastAsia="zh-CN"/>
        </w:rPr>
        <w:t xml:space="preserve"> ich bezkarności) oraz promowanie informacji</w:t>
      </w:r>
      <w:r w:rsidR="00A42643" w:rsidRPr="00851725">
        <w:rPr>
          <w:rFonts w:eastAsia="SimSun"/>
          <w:lang w:val="pl-PL" w:eastAsia="zh-CN"/>
        </w:rPr>
        <w:t xml:space="preserve"> i działania edukacyjne i podnoszące świadomość. W ramach każdego filaru państwom członkowskim oferowane są szczegółowe wskazówki na temat tego, jak spełniać ich zobowiązania, łącząc środki prawne i administracyjne oraz działania praktyczne.</w:t>
      </w:r>
    </w:p>
    <w:p w:rsidR="002045B9" w:rsidRPr="00851725" w:rsidRDefault="00A42643" w:rsidP="002045B9">
      <w:pPr>
        <w:tabs>
          <w:tab w:val="left" w:pos="709"/>
        </w:tabs>
        <w:rPr>
          <w:rFonts w:eastAsia="SimSun"/>
          <w:b/>
          <w:i/>
          <w:lang w:val="pl-PL" w:eastAsia="zh-CN"/>
        </w:rPr>
      </w:pPr>
      <w:r w:rsidRPr="00851725">
        <w:rPr>
          <w:rFonts w:eastAsia="SimSun"/>
          <w:b/>
          <w:i/>
          <w:lang w:val="pl-PL" w:eastAsia="zh-CN"/>
        </w:rPr>
        <w:t>Zapobieganie</w:t>
      </w:r>
    </w:p>
    <w:p w:rsidR="00A42643" w:rsidRPr="00851725" w:rsidRDefault="002045B9" w:rsidP="002045B9">
      <w:pPr>
        <w:tabs>
          <w:tab w:val="left" w:pos="709"/>
        </w:tabs>
        <w:rPr>
          <w:rFonts w:eastAsia="SimSun"/>
          <w:lang w:val="pl-PL" w:eastAsia="zh-CN"/>
        </w:rPr>
      </w:pPr>
      <w:r w:rsidRPr="00851725">
        <w:rPr>
          <w:rFonts w:eastAsia="SimSun"/>
          <w:lang w:val="pl-PL" w:eastAsia="zh-CN"/>
        </w:rPr>
        <w:t>1.</w:t>
      </w:r>
      <w:r w:rsidRPr="00851725">
        <w:rPr>
          <w:rFonts w:eastAsia="SimSun"/>
          <w:lang w:val="pl-PL" w:eastAsia="zh-CN"/>
        </w:rPr>
        <w:tab/>
      </w:r>
      <w:r w:rsidR="004F105A" w:rsidRPr="00851725">
        <w:rPr>
          <w:rFonts w:eastAsia="SimSun"/>
          <w:lang w:val="pl-PL" w:eastAsia="zh-CN"/>
        </w:rPr>
        <w:t xml:space="preserve">Państwa członkowskie powinny, działając zgodnie ze swoimi tradycjami konstytucyjnymi i ustawodawczymi, zapewnić niezależność mediów i chronić ich pluralizm, co obejmuje niezależność i zrównoważony rozwój mediów publicznych i społecznych, które stanowią fundament środowiska </w:t>
      </w:r>
      <w:r w:rsidR="005221E7">
        <w:rPr>
          <w:rFonts w:eastAsia="SimSun"/>
          <w:lang w:val="pl-PL" w:eastAsia="zh-CN"/>
        </w:rPr>
        <w:t>sprzyjającego</w:t>
      </w:r>
      <w:r w:rsidR="004F105A" w:rsidRPr="00851725">
        <w:rPr>
          <w:rFonts w:eastAsia="SimSun"/>
          <w:lang w:val="pl-PL" w:eastAsia="zh-CN"/>
        </w:rPr>
        <w:t xml:space="preserve"> wolności </w:t>
      </w:r>
      <w:r w:rsidR="005221E7">
        <w:rPr>
          <w:rFonts w:eastAsia="SimSun"/>
          <w:lang w:val="pl-PL" w:eastAsia="zh-CN"/>
        </w:rPr>
        <w:t>wyrażania</w:t>
      </w:r>
      <w:r w:rsidR="004F105A" w:rsidRPr="00851725">
        <w:rPr>
          <w:rFonts w:eastAsia="SimSun"/>
          <w:lang w:val="pl-PL" w:eastAsia="zh-CN"/>
        </w:rPr>
        <w:t xml:space="preserve"> poglądów.</w:t>
      </w:r>
    </w:p>
    <w:p w:rsidR="004F105A" w:rsidRPr="00851725" w:rsidRDefault="002045B9" w:rsidP="002045B9">
      <w:pPr>
        <w:tabs>
          <w:tab w:val="left" w:pos="709"/>
        </w:tabs>
        <w:rPr>
          <w:rFonts w:eastAsia="SimSun"/>
          <w:lang w:val="pl-PL" w:eastAsia="zh-CN"/>
        </w:rPr>
      </w:pPr>
      <w:r w:rsidRPr="00851725">
        <w:rPr>
          <w:rFonts w:eastAsia="SimSun"/>
          <w:lang w:val="pl-PL" w:eastAsia="zh-CN"/>
        </w:rPr>
        <w:t>2.</w:t>
      </w:r>
      <w:r w:rsidRPr="00851725">
        <w:rPr>
          <w:rFonts w:eastAsia="SimSun"/>
          <w:lang w:val="pl-PL" w:eastAsia="zh-CN"/>
        </w:rPr>
        <w:tab/>
      </w:r>
      <w:r w:rsidR="004F105A" w:rsidRPr="00851725">
        <w:rPr>
          <w:rFonts w:eastAsia="SimSun"/>
          <w:lang w:val="pl-PL" w:eastAsia="zh-CN"/>
        </w:rPr>
        <w:t>Państwa członkowskie powinny stworzyć kompleksowe ramy prawne umożliwiające dziennikarzom i innym osobom zaa</w:t>
      </w:r>
      <w:r w:rsidR="005221E7">
        <w:rPr>
          <w:rFonts w:eastAsia="SimSun"/>
          <w:lang w:val="pl-PL" w:eastAsia="zh-CN"/>
        </w:rPr>
        <w:t>ngażowanym w działalności medialną</w:t>
      </w:r>
      <w:r w:rsidR="004F105A" w:rsidRPr="00851725">
        <w:rPr>
          <w:rFonts w:eastAsia="SimSun"/>
          <w:lang w:val="pl-PL" w:eastAsia="zh-CN"/>
        </w:rPr>
        <w:t xml:space="preserve"> skuteczniejszy i wolny od obaw </w:t>
      </w:r>
      <w:r w:rsidR="005221E7">
        <w:rPr>
          <w:rFonts w:eastAsia="SimSun"/>
          <w:lang w:val="pl-PL" w:eastAsia="zh-CN"/>
        </w:rPr>
        <w:t>udział w debacie publicznej</w:t>
      </w:r>
      <w:r w:rsidR="004F105A" w:rsidRPr="00851725">
        <w:rPr>
          <w:rFonts w:eastAsia="SimSun"/>
          <w:lang w:val="pl-PL" w:eastAsia="zh-CN"/>
        </w:rPr>
        <w:t xml:space="preserve">. Ramy takie powinny odzwierciedlać zasady określone poniżej i tym samym gwarantować dostęp opinii publicznej do informacji, ochronę prywatności i danych, poufność i bezpieczeństwo komunikowania się, a także ochronę dziennikarskich źródeł informacji i osób ujawniających nieprawidłowości w swoich organizacjach. Ramy prawne obejmujące przepisy prawa karnego </w:t>
      </w:r>
      <w:r w:rsidR="00DD2C9F">
        <w:rPr>
          <w:rFonts w:eastAsia="SimSun"/>
          <w:lang w:val="pl-PL" w:eastAsia="zh-CN"/>
        </w:rPr>
        <w:t xml:space="preserve">i </w:t>
      </w:r>
      <w:r w:rsidR="004F105A" w:rsidRPr="00851725">
        <w:rPr>
          <w:rFonts w:eastAsia="SimSun"/>
          <w:lang w:val="pl-PL" w:eastAsia="zh-CN"/>
        </w:rPr>
        <w:t xml:space="preserve">dotyczące ochrony </w:t>
      </w:r>
      <w:r w:rsidR="00123817">
        <w:rPr>
          <w:rFonts w:eastAsia="SimSun"/>
          <w:lang w:val="pl-PL" w:eastAsia="zh-CN"/>
        </w:rPr>
        <w:t>nietykalności</w:t>
      </w:r>
      <w:r w:rsidR="004F105A" w:rsidRPr="00851725">
        <w:rPr>
          <w:rFonts w:eastAsia="SimSun"/>
          <w:lang w:val="pl-PL" w:eastAsia="zh-CN"/>
        </w:rPr>
        <w:t xml:space="preserve"> fizyczne</w:t>
      </w:r>
      <w:r w:rsidR="005221E7">
        <w:rPr>
          <w:rFonts w:eastAsia="SimSun"/>
          <w:lang w:val="pl-PL" w:eastAsia="zh-CN"/>
        </w:rPr>
        <w:t>j</w:t>
      </w:r>
      <w:r w:rsidR="004F105A" w:rsidRPr="00851725">
        <w:rPr>
          <w:rFonts w:eastAsia="SimSun"/>
          <w:lang w:val="pl-PL" w:eastAsia="zh-CN"/>
        </w:rPr>
        <w:t xml:space="preserve"> i </w:t>
      </w:r>
      <w:r w:rsidR="005221E7">
        <w:rPr>
          <w:rFonts w:eastAsia="SimSun"/>
          <w:lang w:val="pl-PL" w:eastAsia="zh-CN"/>
        </w:rPr>
        <w:t>psychicznej</w:t>
      </w:r>
      <w:r w:rsidR="004F105A" w:rsidRPr="00851725">
        <w:rPr>
          <w:rFonts w:eastAsia="SimSun"/>
          <w:lang w:val="pl-PL" w:eastAsia="zh-CN"/>
        </w:rPr>
        <w:t xml:space="preserve"> osoby, należy wdrożyć w skuteczny sposób, m.in. poprzez mechanizmy administracyjne oraz uznanie szczególnej roli odgrywanej przez dziennikarzy i inne osoby uczestniczące w działalności mediów w demokratycznym społeczeństwie. Ramy prawne i ich wdrożenie powinny gwarantować skuteczną ochronę dziennikarek i innych kobiet zaangażowanych w działalność medialną przed niebezpieczeństwami związanymi z ich płcią w trakcie wykonywania obowiązków</w:t>
      </w:r>
      <w:r w:rsidR="00DD2C9F">
        <w:rPr>
          <w:rFonts w:eastAsia="SimSun"/>
          <w:lang w:val="pl-PL" w:eastAsia="zh-CN"/>
        </w:rPr>
        <w:t xml:space="preserve"> dziennikarskich</w:t>
      </w:r>
      <w:r w:rsidR="004F105A" w:rsidRPr="00851725">
        <w:rPr>
          <w:rFonts w:eastAsia="SimSun"/>
          <w:lang w:val="pl-PL" w:eastAsia="zh-CN"/>
        </w:rPr>
        <w:t xml:space="preserve">. Należy zwrócić </w:t>
      </w:r>
      <w:r w:rsidR="00DD2C9F">
        <w:rPr>
          <w:rFonts w:eastAsia="SimSun"/>
          <w:lang w:val="pl-PL" w:eastAsia="zh-CN"/>
        </w:rPr>
        <w:t>należytą</w:t>
      </w:r>
      <w:r w:rsidR="004F105A" w:rsidRPr="00851725">
        <w:rPr>
          <w:rFonts w:eastAsia="SimSun"/>
          <w:lang w:val="pl-PL" w:eastAsia="zh-CN"/>
        </w:rPr>
        <w:t xml:space="preserve"> uwagę na </w:t>
      </w:r>
      <w:r w:rsidR="005221E7">
        <w:rPr>
          <w:rFonts w:eastAsia="SimSun"/>
          <w:lang w:val="pl-PL" w:eastAsia="zh-CN"/>
        </w:rPr>
        <w:t>znaczenie</w:t>
      </w:r>
      <w:r w:rsidR="004F105A" w:rsidRPr="00851725">
        <w:rPr>
          <w:rFonts w:eastAsia="SimSun"/>
          <w:lang w:val="pl-PL" w:eastAsia="zh-CN"/>
        </w:rPr>
        <w:t xml:space="preserve"> odpowiedniego prawa pracy i </w:t>
      </w:r>
      <w:r w:rsidR="00DD2C9F">
        <w:rPr>
          <w:rFonts w:eastAsia="SimSun"/>
          <w:lang w:val="pl-PL" w:eastAsia="zh-CN"/>
        </w:rPr>
        <w:t xml:space="preserve">przepisów dotyczących </w:t>
      </w:r>
      <w:r w:rsidR="00123817">
        <w:rPr>
          <w:rFonts w:eastAsia="SimSun"/>
          <w:lang w:val="pl-PL" w:eastAsia="zh-CN"/>
        </w:rPr>
        <w:t>zatrudnienia mających</w:t>
      </w:r>
      <w:r w:rsidR="004F105A" w:rsidRPr="00851725">
        <w:rPr>
          <w:rFonts w:eastAsia="SimSun"/>
          <w:lang w:val="pl-PL" w:eastAsia="zh-CN"/>
        </w:rPr>
        <w:t xml:space="preserve"> chronić dziennikarzy i inne osoby działające w mediach przed arbitralnymi zwolnieniami lub represjami oraz przed niebezpiecznymi warunkami pracy, które mogłyby narażać ich na nadmierne naciski w celu odejścia od przyjętych zasad i norm pracy dziennikarskiej.</w:t>
      </w:r>
    </w:p>
    <w:p w:rsidR="004F105A" w:rsidRPr="00851725" w:rsidRDefault="002045B9" w:rsidP="002045B9">
      <w:pPr>
        <w:tabs>
          <w:tab w:val="left" w:pos="709"/>
        </w:tabs>
        <w:rPr>
          <w:rFonts w:eastAsia="SimSun"/>
          <w:lang w:val="pl-PL" w:eastAsia="zh-CN"/>
        </w:rPr>
      </w:pPr>
      <w:r w:rsidRPr="00851725">
        <w:rPr>
          <w:rFonts w:eastAsia="SimSun"/>
          <w:lang w:val="pl-PL" w:eastAsia="zh-CN"/>
        </w:rPr>
        <w:t>3.</w:t>
      </w:r>
      <w:r w:rsidRPr="00851725">
        <w:rPr>
          <w:rFonts w:eastAsia="SimSun"/>
          <w:lang w:val="pl-PL" w:eastAsia="zh-CN"/>
        </w:rPr>
        <w:tab/>
      </w:r>
      <w:r w:rsidR="004F105A" w:rsidRPr="00851725">
        <w:rPr>
          <w:rFonts w:eastAsia="SimSun"/>
          <w:lang w:val="pl-PL" w:eastAsia="zh-CN"/>
        </w:rPr>
        <w:t xml:space="preserve">Wspomniane ramy prawne powinny podlegać niezależnym merytorycznym przeglądom mającym na celu zapewnienie, że mechanizmy zabezpieczające realizację prawa do wyrażania poglądów </w:t>
      </w:r>
      <w:r w:rsidR="00154AAD" w:rsidRPr="00851725">
        <w:rPr>
          <w:rFonts w:eastAsia="SimSun"/>
          <w:lang w:val="pl-PL" w:eastAsia="zh-CN"/>
        </w:rPr>
        <w:t>działają niezawodnie i skutecznie w praktyce, a przepisy poparte są skutecznym systemem ich egzekwowania. Po początkowej ocenie należy przeprowadzać regularne przeglądy przepisów i praktyk</w:t>
      </w:r>
      <w:r w:rsidR="0017689B">
        <w:rPr>
          <w:rFonts w:eastAsia="SimSun"/>
          <w:lang w:val="pl-PL" w:eastAsia="zh-CN"/>
        </w:rPr>
        <w:t>i</w:t>
      </w:r>
      <w:r w:rsidR="00154AAD" w:rsidRPr="00851725">
        <w:rPr>
          <w:rFonts w:eastAsia="SimSun"/>
          <w:lang w:val="pl-PL" w:eastAsia="zh-CN"/>
        </w:rPr>
        <w:t>, których celem powinna</w:t>
      </w:r>
      <w:r w:rsidR="005221E7">
        <w:rPr>
          <w:rFonts w:eastAsia="SimSun"/>
          <w:lang w:val="pl-PL" w:eastAsia="zh-CN"/>
        </w:rPr>
        <w:t xml:space="preserve"> być ocena zgodności ram prawnych</w:t>
      </w:r>
      <w:r w:rsidR="00154AAD" w:rsidRPr="00851725">
        <w:rPr>
          <w:rFonts w:eastAsia="SimSun"/>
          <w:lang w:val="pl-PL" w:eastAsia="zh-CN"/>
        </w:rPr>
        <w:t xml:space="preserve"> i ich stosowania z właściwym</w:t>
      </w:r>
      <w:r w:rsidR="005221E7">
        <w:rPr>
          <w:rFonts w:eastAsia="SimSun"/>
          <w:lang w:val="pl-PL" w:eastAsia="zh-CN"/>
        </w:rPr>
        <w:t>i</w:t>
      </w:r>
      <w:r w:rsidR="00154AAD" w:rsidRPr="00851725">
        <w:rPr>
          <w:rFonts w:eastAsia="SimSun"/>
          <w:lang w:val="pl-PL" w:eastAsia="zh-CN"/>
        </w:rPr>
        <w:t xml:space="preserve"> europejskim</w:t>
      </w:r>
      <w:r w:rsidR="005221E7">
        <w:rPr>
          <w:rFonts w:eastAsia="SimSun"/>
          <w:lang w:val="pl-PL" w:eastAsia="zh-CN"/>
        </w:rPr>
        <w:t>i</w:t>
      </w:r>
      <w:r w:rsidR="00154AAD" w:rsidRPr="00851725">
        <w:rPr>
          <w:rFonts w:eastAsia="SimSun"/>
          <w:lang w:val="pl-PL" w:eastAsia="zh-CN"/>
        </w:rPr>
        <w:t xml:space="preserve"> i międzynarodowymi standardami praw człowieka, m.in. wszystkimi właściwymi pozytywnymi obowiązkami państw. Kluczowe wnioski z oceny powinny stanowić podstawę rekomendacji. Przeglądy powinny obejmować istniejące i projektowane przepisy prawne, w tym przepisy dotyczące zwalczania terroryzmu i ekstremizmu oraz bezpieczeństwa narodowego. Ocenie powinny być poddane także inne przepisy, które wpływają na prawo do wyrażania poglądów przez dziennikarzy i inne osoby uczestniczące w działalności mediów oraz inne </w:t>
      </w:r>
      <w:r w:rsidR="005221E7">
        <w:rPr>
          <w:rFonts w:eastAsia="SimSun"/>
          <w:lang w:val="pl-PL" w:eastAsia="zh-CN"/>
        </w:rPr>
        <w:t>przepisy prawne</w:t>
      </w:r>
      <w:r w:rsidR="00154AAD" w:rsidRPr="00851725">
        <w:rPr>
          <w:rFonts w:eastAsia="SimSun"/>
          <w:lang w:val="pl-PL" w:eastAsia="zh-CN"/>
        </w:rPr>
        <w:t xml:space="preserve"> o </w:t>
      </w:r>
      <w:r w:rsidR="005221E7">
        <w:rPr>
          <w:rFonts w:eastAsia="SimSun"/>
          <w:lang w:val="pl-PL" w:eastAsia="zh-CN"/>
        </w:rPr>
        <w:t>kluczowym</w:t>
      </w:r>
      <w:r w:rsidR="00154AAD" w:rsidRPr="00851725">
        <w:rPr>
          <w:rFonts w:eastAsia="SimSun"/>
          <w:lang w:val="pl-PL" w:eastAsia="zh-CN"/>
        </w:rPr>
        <w:t xml:space="preserve"> znaczeniu dla zapewnienia, że przysługujące im prawo do wyrażania opinii może być realizowane w sposób skuteczny.</w:t>
      </w:r>
    </w:p>
    <w:p w:rsidR="00154AAD" w:rsidRPr="00851725" w:rsidRDefault="002045B9" w:rsidP="002045B9">
      <w:pPr>
        <w:tabs>
          <w:tab w:val="left" w:pos="709"/>
        </w:tabs>
        <w:rPr>
          <w:rFonts w:eastAsia="SimSun"/>
          <w:lang w:val="pl-PL" w:eastAsia="zh-CN"/>
        </w:rPr>
      </w:pPr>
      <w:r w:rsidRPr="00851725">
        <w:rPr>
          <w:rFonts w:eastAsia="SimSun"/>
          <w:lang w:val="pl-PL" w:eastAsia="zh-CN"/>
        </w:rPr>
        <w:lastRenderedPageBreak/>
        <w:t>4.</w:t>
      </w:r>
      <w:r w:rsidRPr="00851725">
        <w:rPr>
          <w:rFonts w:eastAsia="SimSun"/>
          <w:lang w:val="pl-PL" w:eastAsia="zh-CN"/>
        </w:rPr>
        <w:tab/>
      </w:r>
      <w:r w:rsidR="00154AAD" w:rsidRPr="00851725">
        <w:rPr>
          <w:rFonts w:eastAsia="SimSun"/>
          <w:lang w:val="pl-PL" w:eastAsia="zh-CN"/>
        </w:rPr>
        <w:t xml:space="preserve">Przeglądy mogą być przeprowadzane przez właściwe niezależne organy, istniejące lub powołane specjalnie do tego celu, posiadające </w:t>
      </w:r>
      <w:r w:rsidR="0017689B">
        <w:rPr>
          <w:rFonts w:eastAsia="SimSun"/>
          <w:lang w:val="pl-PL" w:eastAsia="zh-CN"/>
        </w:rPr>
        <w:t>jednoznaczny</w:t>
      </w:r>
      <w:r w:rsidR="00154AAD" w:rsidRPr="00851725">
        <w:rPr>
          <w:rFonts w:eastAsia="SimSun"/>
          <w:lang w:val="pl-PL" w:eastAsia="zh-CN"/>
        </w:rPr>
        <w:t xml:space="preserve"> mandat i wsparcie w formie odpowiednich środków. Władzom państwowym zaleca się stworzenie korzystnych warunków do przeprowadzania takich ocen, umożliwiających szczegółową kontrolę społeczną oraz sporządzanie zaleceń przez organizacje i ekspertów działających niezależnie od wpływów rządowych, politycznych, religijnych, komercyjnych i innych stronniczych </w:t>
      </w:r>
      <w:r w:rsidR="003D2201" w:rsidRPr="00851725">
        <w:rPr>
          <w:rFonts w:eastAsia="SimSun"/>
          <w:lang w:val="pl-PL" w:eastAsia="zh-CN"/>
        </w:rPr>
        <w:t>prób wpływania na wydawane opinie. Organem prowadzącym badania wolności wyrażania poglądów może być ogólnokrajowa komisja praw człowieka, rzecznik praw obywatelskich lub inne niezależne ciało powołane dla określonych celów. Zaleca się, aby organ dokonujący oceny wolności wyrażania poglądów posiadał wyraźny mandat do wyszukiwania, uzyskiwania i wykorzystywania informacji z wszelkich źródeł oraz uzyskał nieograniczony dostęp do dokumentów państwowych i oficjalnych we wszystkich działach władz państwowych. Proces przeglądu powinien być transparentny i obejmować wysłuchania publiczne</w:t>
      </w:r>
      <w:r w:rsidR="00604E65" w:rsidRPr="00851725">
        <w:rPr>
          <w:rFonts w:eastAsia="SimSun"/>
          <w:lang w:val="pl-PL" w:eastAsia="zh-CN"/>
        </w:rPr>
        <w:t xml:space="preserve">, umożliwiając pełny i aktywny udział obywateli, </w:t>
      </w:r>
      <w:r w:rsidR="00123817">
        <w:rPr>
          <w:rFonts w:eastAsia="SimSun"/>
          <w:lang w:val="pl-PL" w:eastAsia="zh-CN"/>
        </w:rPr>
        <w:t>m.in.</w:t>
      </w:r>
      <w:r w:rsidR="00604E65" w:rsidRPr="00851725">
        <w:rPr>
          <w:rFonts w:eastAsia="SimSun"/>
          <w:lang w:val="pl-PL" w:eastAsia="zh-CN"/>
        </w:rPr>
        <w:t xml:space="preserve"> przedstawicieli organizacji dziennikarskich, mediów i innych interesariuszy.</w:t>
      </w:r>
    </w:p>
    <w:p w:rsidR="00604E65" w:rsidRPr="00851725" w:rsidRDefault="002045B9" w:rsidP="002045B9">
      <w:pPr>
        <w:tabs>
          <w:tab w:val="left" w:pos="709"/>
        </w:tabs>
        <w:rPr>
          <w:rFonts w:eastAsia="SimSun"/>
          <w:lang w:val="pl-PL" w:eastAsia="zh-CN"/>
        </w:rPr>
      </w:pPr>
      <w:r w:rsidRPr="00851725">
        <w:rPr>
          <w:rFonts w:eastAsia="SimSun"/>
          <w:lang w:val="pl-PL" w:eastAsia="zh-CN"/>
        </w:rPr>
        <w:t>5.</w:t>
      </w:r>
      <w:r w:rsidRPr="00851725">
        <w:rPr>
          <w:rFonts w:eastAsia="SimSun"/>
          <w:lang w:val="pl-PL" w:eastAsia="zh-CN"/>
        </w:rPr>
        <w:tab/>
      </w:r>
      <w:r w:rsidR="00604E65" w:rsidRPr="00851725">
        <w:rPr>
          <w:rFonts w:eastAsia="SimSun"/>
          <w:lang w:val="pl-PL" w:eastAsia="zh-CN"/>
        </w:rPr>
        <w:t>Należy wprowadzić przepis przewidujący składanie sprawozdań z badania wolności wyrażania poglądów odpowiednim wła</w:t>
      </w:r>
      <w:r w:rsidR="00123817">
        <w:rPr>
          <w:rFonts w:eastAsia="SimSun"/>
          <w:lang w:val="pl-PL" w:eastAsia="zh-CN"/>
        </w:rPr>
        <w:t>dzom państwowym, m.in. ministerstwom</w:t>
      </w:r>
      <w:r w:rsidR="00604E65" w:rsidRPr="00851725">
        <w:rPr>
          <w:rFonts w:eastAsia="SimSun"/>
          <w:lang w:val="pl-PL" w:eastAsia="zh-CN"/>
        </w:rPr>
        <w:t xml:space="preserve">, oraz wprowadzający wymóg udzielania terminowej odpowiedzi ze strony właściwych organów państwowych </w:t>
      </w:r>
      <w:r w:rsidR="00123817">
        <w:rPr>
          <w:rFonts w:eastAsia="SimSun"/>
          <w:lang w:val="pl-PL" w:eastAsia="zh-CN"/>
        </w:rPr>
        <w:t xml:space="preserve">i </w:t>
      </w:r>
      <w:r w:rsidR="00604E65" w:rsidRPr="00851725">
        <w:rPr>
          <w:rFonts w:eastAsia="SimSun"/>
          <w:lang w:val="pl-PL" w:eastAsia="zh-CN"/>
        </w:rPr>
        <w:t>obejmujących w stosownych przypadkach podejmowanie kroków naprawczych lub innych działań kontrolnych odpowiednio do wniosków i zaleceń wynikających z przeglądów. Wnioski i zalecenia wynikające z przeglądów powinny być regularnie przekazywane w</w:t>
      </w:r>
      <w:r w:rsidR="00DC7F6B">
        <w:rPr>
          <w:rFonts w:eastAsia="SimSun"/>
          <w:lang w:val="pl-PL" w:eastAsia="zh-CN"/>
        </w:rPr>
        <w:t xml:space="preserve"> formie</w:t>
      </w:r>
      <w:r w:rsidR="00604E65" w:rsidRPr="00851725">
        <w:rPr>
          <w:rFonts w:eastAsia="SimSun"/>
          <w:lang w:val="pl-PL" w:eastAsia="zh-CN"/>
        </w:rPr>
        <w:t xml:space="preserve"> bieżących sprawozdań, monitoringu i wymiany informacji w ramach działalności Rady Europy, tj. Komitetu Ministrów, Zgromadzenia Parlamentarnego i Komisarza Praw Człowieka. Informacje takie mo</w:t>
      </w:r>
      <w:r w:rsidR="00123817">
        <w:rPr>
          <w:rFonts w:eastAsia="SimSun"/>
          <w:lang w:val="pl-PL" w:eastAsia="zh-CN"/>
        </w:rPr>
        <w:t>gą być udostępniane także innym</w:t>
      </w:r>
      <w:r w:rsidR="00604E65" w:rsidRPr="00851725">
        <w:rPr>
          <w:rFonts w:eastAsia="SimSun"/>
          <w:lang w:val="pl-PL" w:eastAsia="zh-CN"/>
        </w:rPr>
        <w:t xml:space="preserve"> organizacjom międzyrządowym, takim jak Komisja Praw Człowieka ONZ, Powszechny Przegląd Okresow</w:t>
      </w:r>
      <w:r w:rsidR="00123817">
        <w:rPr>
          <w:rFonts w:eastAsia="SimSun"/>
          <w:lang w:val="pl-PL" w:eastAsia="zh-CN"/>
        </w:rPr>
        <w:t>y UNESCO, Wysoki Komisarz ONZ ds.</w:t>
      </w:r>
      <w:r w:rsidR="00604E65" w:rsidRPr="00851725">
        <w:rPr>
          <w:rFonts w:eastAsia="SimSun"/>
          <w:lang w:val="pl-PL" w:eastAsia="zh-CN"/>
        </w:rPr>
        <w:t xml:space="preserve"> Praw Człowieka i Przedstawiciel OBWE ds. Wolności Mediów.</w:t>
      </w:r>
    </w:p>
    <w:p w:rsidR="00604E65" w:rsidRPr="00851725" w:rsidRDefault="002045B9" w:rsidP="002045B9">
      <w:pPr>
        <w:tabs>
          <w:tab w:val="left" w:pos="709"/>
        </w:tabs>
        <w:rPr>
          <w:rFonts w:eastAsia="SimSun"/>
          <w:lang w:val="pl-PL" w:eastAsia="zh-CN"/>
        </w:rPr>
      </w:pPr>
      <w:r w:rsidRPr="00851725">
        <w:rPr>
          <w:rFonts w:eastAsia="SimSun"/>
          <w:lang w:val="pl-PL" w:eastAsia="zh-CN"/>
        </w:rPr>
        <w:t>6.</w:t>
      </w:r>
      <w:r w:rsidRPr="00851725">
        <w:rPr>
          <w:rFonts w:eastAsia="SimSun"/>
          <w:lang w:val="pl-PL" w:eastAsia="zh-CN"/>
        </w:rPr>
        <w:tab/>
      </w:r>
      <w:r w:rsidR="00604E65" w:rsidRPr="00851725">
        <w:rPr>
          <w:rFonts w:eastAsia="SimSun"/>
          <w:lang w:val="pl-PL" w:eastAsia="zh-CN"/>
        </w:rPr>
        <w:t>W ramach przeglądó</w:t>
      </w:r>
      <w:r w:rsidR="005532BE">
        <w:rPr>
          <w:rFonts w:eastAsia="SimSun"/>
          <w:lang w:val="pl-PL" w:eastAsia="zh-CN"/>
        </w:rPr>
        <w:t>w przepisów prawnych i praktyki</w:t>
      </w:r>
      <w:r w:rsidR="00604E65" w:rsidRPr="00851725">
        <w:rPr>
          <w:rFonts w:eastAsia="SimSun"/>
          <w:lang w:val="pl-PL" w:eastAsia="zh-CN"/>
        </w:rPr>
        <w:t xml:space="preserve"> państwa członkowskie, w których obowiązują przepisy przewidujące odpowiedzialność prawną za zniesławienie, powinny zapewnić, że zawierają one zabezpieczenie wolności wyrażania poglądów zgodne z europejskimi i międzynarodowymi standardami praw człowieka, m.in. możliwość powoływania się na prawdziwość informacji, działanie w interesie publicznym oraz prawo do</w:t>
      </w:r>
      <w:r w:rsidR="002F0C9F" w:rsidRPr="00851725">
        <w:rPr>
          <w:rFonts w:eastAsia="SimSun"/>
          <w:lang w:val="pl-PL" w:eastAsia="zh-CN"/>
        </w:rPr>
        <w:t xml:space="preserve"> uczciwej krytyki</w:t>
      </w:r>
      <w:r w:rsidR="003A0765">
        <w:rPr>
          <w:rFonts w:eastAsia="SimSun"/>
          <w:lang w:val="pl-PL" w:eastAsia="zh-CN"/>
        </w:rPr>
        <w:t>,</w:t>
      </w:r>
      <w:r w:rsidR="002F0C9F" w:rsidRPr="00851725">
        <w:rPr>
          <w:rFonts w:eastAsia="SimSun"/>
          <w:lang w:val="pl-PL" w:eastAsia="zh-CN"/>
        </w:rPr>
        <w:t xml:space="preserve"> w celu ochrony przed nadużywaniem i błędnym stosowaniem takich przepisów, zgodnie z zasadą proporcjonalności sformułowaną przez Europejski Trybunał Praw Człowieka. Ponadto, uwzględniając zastraszający wpływ, jaki przepisy kryminalizujące określone rodzaje wypowiedzi mają na wolność wyrażania poglądów i debatę publiczną, państwa powinny egzekwować istniejące ograniczenia w stosowaniu takich przepisów. W tym względzie państwa powinny kierować się orzeczeniem Europejskiego Trybunału Praw Człowieka, zgodnie z którym nakładanie kary pozbawienia wolności za przestępstwo dziennikarskie jest dopuszczalne tylko w wyjątkowych okolicznościach, szczególnie w sytuacji, gdy poważnie naruszone zostały inne prawa podstawowe, na przykład w przypadku mowy nienawiści lub propagowania przemocy. Takie przepisy prawne powinny podlegać podobnemu krytycznemu nadzorowi w kontekście przeglądów przepisów i praktyki.</w:t>
      </w:r>
    </w:p>
    <w:p w:rsidR="002F0C9F" w:rsidRPr="00851725" w:rsidRDefault="002045B9" w:rsidP="002045B9">
      <w:pPr>
        <w:tabs>
          <w:tab w:val="left" w:pos="709"/>
        </w:tabs>
        <w:rPr>
          <w:rFonts w:eastAsia="SimSun"/>
          <w:lang w:val="pl-PL" w:eastAsia="zh-CN"/>
        </w:rPr>
      </w:pPr>
      <w:r w:rsidRPr="00851725">
        <w:rPr>
          <w:rFonts w:eastAsia="SimSun"/>
          <w:lang w:val="pl-PL" w:eastAsia="zh-CN"/>
        </w:rPr>
        <w:t>7.</w:t>
      </w:r>
      <w:r w:rsidRPr="00851725">
        <w:rPr>
          <w:rFonts w:eastAsia="SimSun"/>
          <w:lang w:val="pl-PL" w:eastAsia="zh-CN"/>
        </w:rPr>
        <w:tab/>
      </w:r>
      <w:r w:rsidR="002F0C9F" w:rsidRPr="00851725">
        <w:rPr>
          <w:rFonts w:eastAsia="SimSun"/>
          <w:lang w:val="pl-PL" w:eastAsia="zh-CN"/>
        </w:rPr>
        <w:t xml:space="preserve">Państwa członkowskie powinny określić wyraźnie podstawy prawne dla inwigilowania i przechwytywania danych komunikacyjnych oraz zabezpieczenia proceduralne przed ich nadużywaniem i niewłaściwym stosowaniem, takie jak możliwość dokonywania oceny przez właściwy organ sądowy, stosowanie właściwej procedury prawnej oraz powiadamianie użytkownika. Obowiązkiem państw członkowskich jest zapewnienie skutecznego działania mechanizmów kontroli nad inwigilacją komunikacji przez państwo, aby zapewnić transparentność zakresu i charakteru takich praktyk i odpowiedzialność za ich realizowanie. </w:t>
      </w:r>
      <w:r w:rsidR="002F0C9F" w:rsidRPr="00851725">
        <w:rPr>
          <w:rFonts w:eastAsia="SimSun"/>
          <w:lang w:val="pl-PL" w:eastAsia="zh-CN"/>
        </w:rPr>
        <w:lastRenderedPageBreak/>
        <w:t xml:space="preserve">W takich organach </w:t>
      </w:r>
      <w:r w:rsidR="00934A9C">
        <w:rPr>
          <w:rFonts w:eastAsia="SimSun"/>
          <w:lang w:val="pl-PL" w:eastAsia="zh-CN"/>
        </w:rPr>
        <w:t>nadzorczych</w:t>
      </w:r>
      <w:r w:rsidR="002F0C9F" w:rsidRPr="00851725">
        <w:rPr>
          <w:rFonts w:eastAsia="SimSun"/>
          <w:lang w:val="pl-PL" w:eastAsia="zh-CN"/>
        </w:rPr>
        <w:t xml:space="preserve"> powinno się zapewnić odpowiednią reprezentację różnorodnych interesariuszy, m.in. dziennikarzy i ich organizacji oraz ekspertów prawnych i technicznych.</w:t>
      </w:r>
    </w:p>
    <w:p w:rsidR="002045B9" w:rsidRPr="00851725" w:rsidRDefault="002F0C9F" w:rsidP="002045B9">
      <w:pPr>
        <w:tabs>
          <w:tab w:val="left" w:pos="709"/>
        </w:tabs>
        <w:rPr>
          <w:rFonts w:eastAsia="SimSun"/>
          <w:b/>
          <w:i/>
          <w:lang w:val="pl-PL" w:eastAsia="zh-CN"/>
        </w:rPr>
      </w:pPr>
      <w:r w:rsidRPr="00851725">
        <w:rPr>
          <w:rFonts w:eastAsia="SimSun"/>
          <w:b/>
          <w:i/>
          <w:lang w:val="pl-PL" w:eastAsia="zh-CN"/>
        </w:rPr>
        <w:t>Ochrona</w:t>
      </w:r>
    </w:p>
    <w:p w:rsidR="002F0C9F" w:rsidRPr="00851725" w:rsidRDefault="002045B9" w:rsidP="002045B9">
      <w:pPr>
        <w:tabs>
          <w:tab w:val="left" w:pos="709"/>
        </w:tabs>
        <w:rPr>
          <w:rFonts w:eastAsia="SimSun"/>
          <w:lang w:val="pl-PL" w:eastAsia="zh-CN"/>
        </w:rPr>
      </w:pPr>
      <w:r w:rsidRPr="00851725">
        <w:rPr>
          <w:rFonts w:eastAsia="SimSun"/>
          <w:lang w:val="pl-PL" w:eastAsia="zh-CN"/>
        </w:rPr>
        <w:t>8.</w:t>
      </w:r>
      <w:r w:rsidRPr="00851725">
        <w:rPr>
          <w:rFonts w:eastAsia="SimSun"/>
          <w:lang w:val="pl-PL" w:eastAsia="zh-CN"/>
        </w:rPr>
        <w:tab/>
      </w:r>
      <w:r w:rsidR="006812CC" w:rsidRPr="00851725">
        <w:rPr>
          <w:rFonts w:eastAsia="SimSun"/>
          <w:lang w:val="pl-PL" w:eastAsia="zh-CN"/>
        </w:rPr>
        <w:t xml:space="preserve">Przepisy prawa wprowadzające odpowiedzialność karną za przemoc wobec dziennikarzy muszą być poparte mechanizmami egzekwowania prawa i zadośćuczynienia dla ofiar (i ich rodzin), </w:t>
      </w:r>
      <w:r w:rsidR="00185CF0">
        <w:rPr>
          <w:rFonts w:eastAsia="SimSun"/>
          <w:lang w:val="pl-PL" w:eastAsia="zh-CN"/>
        </w:rPr>
        <w:t xml:space="preserve">które będą </w:t>
      </w:r>
      <w:r w:rsidR="00123817">
        <w:rPr>
          <w:rFonts w:eastAsia="SimSun"/>
          <w:lang w:val="pl-PL" w:eastAsia="zh-CN"/>
        </w:rPr>
        <w:t>skuteczn</w:t>
      </w:r>
      <w:r w:rsidR="006812CC" w:rsidRPr="00851725">
        <w:rPr>
          <w:rFonts w:eastAsia="SimSun"/>
          <w:lang w:val="pl-PL" w:eastAsia="zh-CN"/>
        </w:rPr>
        <w:t>e w praktyce. Należy wprowadzić czytelne i adekwatne przepisy w zakresie zabezpieczeń i innych środków tymczasowych chroniących osoby zagrożone przemocą.</w:t>
      </w:r>
    </w:p>
    <w:p w:rsidR="006812CC" w:rsidRPr="00851725" w:rsidRDefault="002045B9" w:rsidP="002045B9">
      <w:pPr>
        <w:tabs>
          <w:tab w:val="left" w:pos="709"/>
        </w:tabs>
        <w:rPr>
          <w:rFonts w:eastAsia="SimSun"/>
          <w:lang w:val="pl-PL" w:eastAsia="zh-CN"/>
        </w:rPr>
      </w:pPr>
      <w:r w:rsidRPr="00851725">
        <w:rPr>
          <w:rFonts w:eastAsia="SimSun"/>
          <w:lang w:val="pl-PL" w:eastAsia="zh-CN"/>
        </w:rPr>
        <w:t>9.</w:t>
      </w:r>
      <w:r w:rsidRPr="00851725">
        <w:rPr>
          <w:rFonts w:eastAsia="SimSun"/>
          <w:lang w:val="pl-PL" w:eastAsia="zh-CN"/>
        </w:rPr>
        <w:tab/>
      </w:r>
      <w:r w:rsidR="006812CC" w:rsidRPr="00851725">
        <w:rPr>
          <w:rFonts w:eastAsia="SimSun"/>
          <w:lang w:val="pl-PL" w:eastAsia="zh-CN"/>
        </w:rPr>
        <w:t>Obowiązkiem organów państwowych jest zapobieganie</w:t>
      </w:r>
      <w:r w:rsidR="00185CF0">
        <w:rPr>
          <w:rFonts w:eastAsia="SimSun"/>
          <w:lang w:val="pl-PL" w:eastAsia="zh-CN"/>
        </w:rPr>
        <w:t xml:space="preserve"> przestępstwom</w:t>
      </w:r>
      <w:r w:rsidR="006812CC" w:rsidRPr="00851725">
        <w:rPr>
          <w:rFonts w:eastAsia="SimSun"/>
          <w:lang w:val="pl-PL" w:eastAsia="zh-CN"/>
        </w:rPr>
        <w:t xml:space="preserve"> wobec osób, jeśli organy państwowe wiedzą lub powinny wiedzieć o występowaniu rzeczywistego i bezpośredniego zagrożenia dla życia lub </w:t>
      </w:r>
      <w:r w:rsidR="00123817">
        <w:rPr>
          <w:rFonts w:eastAsia="SimSun"/>
          <w:lang w:val="pl-PL" w:eastAsia="zh-CN"/>
        </w:rPr>
        <w:t>nietykalności</w:t>
      </w:r>
      <w:r w:rsidR="006812CC" w:rsidRPr="00851725">
        <w:rPr>
          <w:rFonts w:eastAsia="SimSun"/>
          <w:lang w:val="pl-PL" w:eastAsia="zh-CN"/>
        </w:rPr>
        <w:t xml:space="preserve"> fizycznej osoby lub osób na skutek działalności przestępczej osoby trzeciej</w:t>
      </w:r>
      <w:r w:rsidR="00185CF0">
        <w:rPr>
          <w:rFonts w:eastAsia="SimSun"/>
          <w:lang w:val="pl-PL" w:eastAsia="zh-CN"/>
        </w:rPr>
        <w:t>. Obowiązki takie obejmują także</w:t>
      </w:r>
      <w:r w:rsidR="006812CC" w:rsidRPr="00851725">
        <w:rPr>
          <w:rFonts w:eastAsia="SimSun"/>
          <w:lang w:val="pl-PL" w:eastAsia="zh-CN"/>
        </w:rPr>
        <w:t xml:space="preserve"> podejmowanie działań w ramach swoich uprawnień, które zgodnie z </w:t>
      </w:r>
      <w:r w:rsidR="00123817">
        <w:rPr>
          <w:rFonts w:eastAsia="SimSun"/>
          <w:lang w:val="pl-PL" w:eastAsia="zh-CN"/>
        </w:rPr>
        <w:t>uzasadnioną</w:t>
      </w:r>
      <w:r w:rsidR="006812CC" w:rsidRPr="00851725">
        <w:rPr>
          <w:rFonts w:eastAsia="SimSun"/>
          <w:lang w:val="pl-PL" w:eastAsia="zh-CN"/>
        </w:rPr>
        <w:t xml:space="preserve"> oceną mogą pozwolić na uniknięcie takich ryzyk. W tym celu państwa członkowskie powinny podjąć odpowiednie operacyjne działania prewencyjne, takie jak zapewnienie ochrony policyjnej</w:t>
      </w:r>
      <w:r w:rsidR="00123817" w:rsidRPr="00123817">
        <w:rPr>
          <w:rFonts w:eastAsia="SimSun"/>
          <w:lang w:val="pl-PL" w:eastAsia="zh-CN"/>
        </w:rPr>
        <w:t xml:space="preserve"> </w:t>
      </w:r>
      <w:r w:rsidR="00123817" w:rsidRPr="00851725">
        <w:rPr>
          <w:rFonts w:eastAsia="SimSun"/>
          <w:lang w:val="pl-PL" w:eastAsia="zh-CN"/>
        </w:rPr>
        <w:t xml:space="preserve">lub dobrowolne przeniesienie </w:t>
      </w:r>
      <w:r w:rsidR="00123817">
        <w:rPr>
          <w:rFonts w:eastAsia="SimSun"/>
          <w:lang w:val="pl-PL" w:eastAsia="zh-CN"/>
        </w:rPr>
        <w:t>w bezpieczne miejsce</w:t>
      </w:r>
      <w:r w:rsidR="006812CC" w:rsidRPr="00851725">
        <w:rPr>
          <w:rFonts w:eastAsia="SimSun"/>
          <w:lang w:val="pl-PL" w:eastAsia="zh-CN"/>
        </w:rPr>
        <w:t>, szczególnie gdy z wnioskiem o taką ochronę występują dziennikarze lub inne osoby działające w mediach. Środki takie powinny być skuteczne i podejmowane bezzwłocznie</w:t>
      </w:r>
      <w:r w:rsidR="00291369">
        <w:rPr>
          <w:rFonts w:eastAsia="SimSun"/>
          <w:lang w:val="pl-PL" w:eastAsia="zh-CN"/>
        </w:rPr>
        <w:t>,</w:t>
      </w:r>
      <w:r w:rsidR="006812CC" w:rsidRPr="00851725">
        <w:rPr>
          <w:rFonts w:eastAsia="SimSun"/>
          <w:lang w:val="pl-PL" w:eastAsia="zh-CN"/>
        </w:rPr>
        <w:t xml:space="preserve"> a ich celem powinno być także zapobieganie niebezpieczeństwom związanym z płcią, na które narażone są dziennikarki i inne kobiety zaangażowane w działalność medialną.</w:t>
      </w:r>
    </w:p>
    <w:p w:rsidR="006812CC" w:rsidRPr="00851725" w:rsidRDefault="002045B9" w:rsidP="002045B9">
      <w:pPr>
        <w:tabs>
          <w:tab w:val="left" w:pos="709"/>
        </w:tabs>
        <w:rPr>
          <w:rFonts w:eastAsia="SimSun"/>
          <w:lang w:val="pl-PL" w:eastAsia="zh-CN"/>
        </w:rPr>
      </w:pPr>
      <w:r w:rsidRPr="00851725">
        <w:rPr>
          <w:rFonts w:eastAsia="SimSun"/>
          <w:lang w:val="pl-PL" w:eastAsia="zh-CN"/>
        </w:rPr>
        <w:t>10.</w:t>
      </w:r>
      <w:r w:rsidRPr="00851725">
        <w:rPr>
          <w:rFonts w:eastAsia="SimSun"/>
          <w:lang w:val="pl-PL" w:eastAsia="zh-CN"/>
        </w:rPr>
        <w:tab/>
      </w:r>
      <w:r w:rsidR="006812CC" w:rsidRPr="00851725">
        <w:rPr>
          <w:rFonts w:eastAsia="SimSun"/>
          <w:lang w:val="pl-PL" w:eastAsia="zh-CN"/>
        </w:rPr>
        <w:t xml:space="preserve">Państwa członkowskie powinny zachęcać do powoływania oraz wspierać działanie mechanizmów wczesnego ostrzegania i szybkiego reagowania, takich jak linie informacyjne, platformy online lub całodobowe punkty kontaktowe, prowadzonych przez organizacje mediów lub organizacje pozarządowe, aby zapewnić, że dziennikarze i inne osoby uczestniczące w działalności medialnej mają bezpośredni dostęp do środków ochronnych na wypadek wystąpienia zagrożenia. Jeśli mechanizmy takie są wprowadzane i prowadzone przez organy państwowe, powinny być one poddane skutecznemu nadzorowi ze strony społeczeństwa obywatelskiego i gwarantować ochronę osobom zgłaszającym nieprawidłowości w swoich organizacjach i źródłom informacji, które pragną pozostać anonimowe. Zachęca się państwa członkowskie do </w:t>
      </w:r>
      <w:r w:rsidR="0068443E">
        <w:rPr>
          <w:rFonts w:eastAsia="SimSun"/>
          <w:lang w:val="pl-PL" w:eastAsia="zh-CN"/>
        </w:rPr>
        <w:t>bezwarunkowego</w:t>
      </w:r>
      <w:r w:rsidR="00E1256E" w:rsidRPr="00851725">
        <w:rPr>
          <w:rFonts w:eastAsia="SimSun"/>
          <w:lang w:val="pl-PL" w:eastAsia="zh-CN"/>
        </w:rPr>
        <w:t xml:space="preserve"> wsp</w:t>
      </w:r>
      <w:r w:rsidR="00185CF0">
        <w:rPr>
          <w:rFonts w:eastAsia="SimSun"/>
          <w:lang w:val="pl-PL" w:eastAsia="zh-CN"/>
        </w:rPr>
        <w:t>ierania i współpracy z platformą</w:t>
      </w:r>
      <w:r w:rsidR="00E1256E" w:rsidRPr="00851725">
        <w:rPr>
          <w:rFonts w:eastAsia="SimSun"/>
          <w:lang w:val="pl-PL" w:eastAsia="zh-CN"/>
        </w:rPr>
        <w:t xml:space="preserve"> Rady Europy w celu promowania ochrony dziennikarstwa i bezpieczeństwa dziennikarzy i w tym celu do pomocy we wzmocnieniu zdolności organów Rady Europy do ostrzegania i skutecznego reagowania na groźby i p</w:t>
      </w:r>
      <w:r w:rsidR="00185CF0">
        <w:rPr>
          <w:rFonts w:eastAsia="SimSun"/>
          <w:lang w:val="pl-PL" w:eastAsia="zh-CN"/>
        </w:rPr>
        <w:t>rzemoc wobec dziennikarzy i innych</w:t>
      </w:r>
      <w:r w:rsidR="00E1256E" w:rsidRPr="00851725">
        <w:rPr>
          <w:rFonts w:eastAsia="SimSun"/>
          <w:lang w:val="pl-PL" w:eastAsia="zh-CN"/>
        </w:rPr>
        <w:t xml:space="preserve"> </w:t>
      </w:r>
      <w:r w:rsidR="00185CF0">
        <w:rPr>
          <w:rFonts w:eastAsia="SimSun"/>
          <w:lang w:val="pl-PL" w:eastAsia="zh-CN"/>
        </w:rPr>
        <w:t>osób uczestniczących</w:t>
      </w:r>
      <w:r w:rsidR="00E1256E" w:rsidRPr="00851725">
        <w:rPr>
          <w:rFonts w:eastAsia="SimSun"/>
          <w:lang w:val="pl-PL" w:eastAsia="zh-CN"/>
        </w:rPr>
        <w:t xml:space="preserve"> w działalności medialnej.</w:t>
      </w:r>
    </w:p>
    <w:p w:rsidR="00E1256E" w:rsidRPr="00851725" w:rsidRDefault="002045B9" w:rsidP="002045B9">
      <w:pPr>
        <w:tabs>
          <w:tab w:val="left" w:pos="709"/>
        </w:tabs>
        <w:rPr>
          <w:rFonts w:eastAsia="SimSun"/>
          <w:lang w:val="pl-PL" w:eastAsia="zh-CN"/>
        </w:rPr>
      </w:pPr>
      <w:r w:rsidRPr="00851725">
        <w:rPr>
          <w:rFonts w:eastAsia="SimSun"/>
          <w:lang w:val="pl-PL" w:eastAsia="zh-CN"/>
        </w:rPr>
        <w:t>11.</w:t>
      </w:r>
      <w:r w:rsidRPr="00851725">
        <w:rPr>
          <w:rFonts w:eastAsia="SimSun"/>
          <w:lang w:val="pl-PL" w:eastAsia="zh-CN"/>
        </w:rPr>
        <w:tab/>
      </w:r>
      <w:r w:rsidR="00E1256E" w:rsidRPr="00851725">
        <w:rPr>
          <w:rFonts w:eastAsia="SimSun"/>
          <w:lang w:val="pl-PL" w:eastAsia="zh-CN"/>
        </w:rPr>
        <w:t>We wszystkich przypadkach pozbawia</w:t>
      </w:r>
      <w:r w:rsidR="00185CF0">
        <w:rPr>
          <w:rFonts w:eastAsia="SimSun"/>
          <w:lang w:val="pl-PL" w:eastAsia="zh-CN"/>
        </w:rPr>
        <w:t>ni</w:t>
      </w:r>
      <w:r w:rsidR="0068443E">
        <w:rPr>
          <w:rFonts w:eastAsia="SimSun"/>
          <w:lang w:val="pl-PL" w:eastAsia="zh-CN"/>
        </w:rPr>
        <w:t>a wolności dziennikarzy i inne osoby zaangażowane</w:t>
      </w:r>
      <w:r w:rsidR="00E1256E" w:rsidRPr="00851725">
        <w:rPr>
          <w:rFonts w:eastAsia="SimSun"/>
          <w:lang w:val="pl-PL" w:eastAsia="zh-CN"/>
        </w:rPr>
        <w:t xml:space="preserve"> w działalność medialną przez policję lub inne organy ochrony porządku publicznego konieczne jest przestrzeganie odpowiednich </w:t>
      </w:r>
      <w:r w:rsidR="00291369">
        <w:rPr>
          <w:rFonts w:eastAsia="SimSun"/>
          <w:lang w:val="pl-PL" w:eastAsia="zh-CN"/>
        </w:rPr>
        <w:t>procedur</w:t>
      </w:r>
      <w:r w:rsidR="00E1256E" w:rsidRPr="00851725">
        <w:rPr>
          <w:rFonts w:eastAsia="SimSun"/>
          <w:lang w:val="pl-PL" w:eastAsia="zh-CN"/>
        </w:rPr>
        <w:t xml:space="preserve"> mających zapobiegać bezprawnemu zatrzymaniu lub złemu traktowaniu. Ta</w:t>
      </w:r>
      <w:r w:rsidR="00150C4E">
        <w:rPr>
          <w:rFonts w:eastAsia="SimSun"/>
          <w:lang w:val="pl-PL" w:eastAsia="zh-CN"/>
        </w:rPr>
        <w:t>kie gwarancje proceduralne muszą</w:t>
      </w:r>
      <w:r w:rsidR="00E1256E" w:rsidRPr="00851725">
        <w:rPr>
          <w:rFonts w:eastAsia="SimSun"/>
          <w:lang w:val="pl-PL" w:eastAsia="zh-CN"/>
        </w:rPr>
        <w:t xml:space="preserve"> obejmować prawo do poinformowania lub przekazania informacji osobie trzecie wybranej przez osobę zatrzymaną </w:t>
      </w:r>
      <w:r w:rsidR="00150C4E">
        <w:rPr>
          <w:rFonts w:eastAsia="SimSun"/>
          <w:lang w:val="pl-PL" w:eastAsia="zh-CN"/>
        </w:rPr>
        <w:t>na temat pozbawienia wolności, miejsca</w:t>
      </w:r>
      <w:r w:rsidR="005C56FF">
        <w:rPr>
          <w:rFonts w:eastAsia="SimSun"/>
          <w:lang w:val="pl-PL" w:eastAsia="zh-CN"/>
        </w:rPr>
        <w:t xml:space="preserve"> zatrzymania oraz ewentualnej zmiany takiego miejsca</w:t>
      </w:r>
      <w:r w:rsidR="00E1256E" w:rsidRPr="00851725">
        <w:rPr>
          <w:rFonts w:eastAsia="SimSun"/>
          <w:lang w:val="pl-PL" w:eastAsia="zh-CN"/>
        </w:rPr>
        <w:t xml:space="preserve">, prawo </w:t>
      </w:r>
      <w:r w:rsidR="00505502">
        <w:rPr>
          <w:rFonts w:eastAsia="SimSun"/>
          <w:lang w:val="pl-PL" w:eastAsia="zh-CN"/>
        </w:rPr>
        <w:t xml:space="preserve">do </w:t>
      </w:r>
      <w:r w:rsidR="00E1256E" w:rsidRPr="00851725">
        <w:rPr>
          <w:rFonts w:eastAsia="SimSun"/>
          <w:lang w:val="pl-PL" w:eastAsia="zh-CN"/>
        </w:rPr>
        <w:t xml:space="preserve">korzystania z pomocy adwokata, prawo dostępu do opieki lekarskiej oraz prawo do podważania przed sądem zgodności zatrzymania z prawem. Osoby aresztowane lub zatrzymane w związku z popełnieniem przestępstwa muszą stanąć bezzwłocznie przed </w:t>
      </w:r>
      <w:r w:rsidR="00505502">
        <w:rPr>
          <w:rFonts w:eastAsia="SimSun"/>
          <w:lang w:val="pl-PL" w:eastAsia="zh-CN"/>
        </w:rPr>
        <w:t xml:space="preserve">sądem </w:t>
      </w:r>
      <w:r w:rsidR="00E1256E" w:rsidRPr="00851725">
        <w:rPr>
          <w:rFonts w:eastAsia="SimSun"/>
          <w:lang w:val="pl-PL" w:eastAsia="zh-CN"/>
        </w:rPr>
        <w:t xml:space="preserve">i mają prawo do rozprawy w </w:t>
      </w:r>
      <w:r w:rsidR="005C56FF">
        <w:rPr>
          <w:rFonts w:eastAsia="SimSun"/>
          <w:lang w:val="pl-PL" w:eastAsia="zh-CN"/>
        </w:rPr>
        <w:t xml:space="preserve">rozsądnym </w:t>
      </w:r>
      <w:r w:rsidR="00E1256E" w:rsidRPr="00851725">
        <w:rPr>
          <w:rFonts w:eastAsia="SimSun"/>
          <w:lang w:val="pl-PL" w:eastAsia="zh-CN"/>
        </w:rPr>
        <w:t xml:space="preserve">terminie lub do zwolnienia w oczekiwaniu na proces zgodnie z artykułem 5 Europejskiej </w:t>
      </w:r>
      <w:r w:rsidR="00505502">
        <w:rPr>
          <w:rFonts w:eastAsia="SimSun"/>
          <w:lang w:val="pl-PL" w:eastAsia="zh-CN"/>
        </w:rPr>
        <w:t>k</w:t>
      </w:r>
      <w:r w:rsidR="00E1256E" w:rsidRPr="00851725">
        <w:rPr>
          <w:rFonts w:eastAsia="SimSun"/>
          <w:lang w:val="pl-PL" w:eastAsia="zh-CN"/>
        </w:rPr>
        <w:t xml:space="preserve">onwencji </w:t>
      </w:r>
      <w:r w:rsidR="00291369">
        <w:rPr>
          <w:lang w:val="pl-PL"/>
        </w:rPr>
        <w:t xml:space="preserve">o ochronie </w:t>
      </w:r>
      <w:r w:rsidR="00505502">
        <w:rPr>
          <w:rFonts w:eastAsia="SimSun"/>
          <w:lang w:val="pl-PL" w:eastAsia="zh-CN"/>
        </w:rPr>
        <w:t>p</w:t>
      </w:r>
      <w:r w:rsidR="00E1256E" w:rsidRPr="00851725">
        <w:rPr>
          <w:rFonts w:eastAsia="SimSun"/>
          <w:lang w:val="pl-PL" w:eastAsia="zh-CN"/>
        </w:rPr>
        <w:t xml:space="preserve">raw </w:t>
      </w:r>
      <w:r w:rsidR="00505502">
        <w:rPr>
          <w:rFonts w:eastAsia="SimSun"/>
          <w:lang w:val="pl-PL" w:eastAsia="zh-CN"/>
        </w:rPr>
        <w:t>c</w:t>
      </w:r>
      <w:r w:rsidR="00E1256E" w:rsidRPr="00851725">
        <w:rPr>
          <w:rFonts w:eastAsia="SimSun"/>
          <w:lang w:val="pl-PL" w:eastAsia="zh-CN"/>
        </w:rPr>
        <w:t>złowieka (prawo do wolności i ochrony) zgodnie z interpretacją Europejskiego Trybunału Praw Człowieka zawartą w orzecznictwie tego sądu.</w:t>
      </w:r>
    </w:p>
    <w:p w:rsidR="00E1256E" w:rsidRPr="00851725" w:rsidRDefault="002045B9" w:rsidP="002045B9">
      <w:pPr>
        <w:tabs>
          <w:tab w:val="left" w:pos="709"/>
        </w:tabs>
        <w:rPr>
          <w:rFonts w:eastAsia="SimSun"/>
          <w:lang w:val="pl-PL" w:eastAsia="zh-CN"/>
        </w:rPr>
      </w:pPr>
      <w:r w:rsidRPr="00851725">
        <w:rPr>
          <w:rFonts w:eastAsia="SimSun"/>
          <w:lang w:val="pl-PL" w:eastAsia="zh-CN"/>
        </w:rPr>
        <w:lastRenderedPageBreak/>
        <w:t>12.</w:t>
      </w:r>
      <w:r w:rsidRPr="00851725">
        <w:rPr>
          <w:rFonts w:eastAsia="SimSun"/>
          <w:lang w:val="pl-PL" w:eastAsia="zh-CN"/>
        </w:rPr>
        <w:tab/>
      </w:r>
      <w:r w:rsidR="00E1256E" w:rsidRPr="00851725">
        <w:rPr>
          <w:rFonts w:eastAsia="SimSun"/>
          <w:lang w:val="pl-PL" w:eastAsia="zh-CN"/>
        </w:rPr>
        <w:t xml:space="preserve">Państwa członkowskie powinny opracować protokoły i programy szkoleń dla wszystkich organów państwowych odpowiadających za spełnianie obowiązków państwa w zakresie ochrony dziennikarzy i innych osób zaangażowanych w działalność medialną. Protokoły takie powinny odpowiadać charakterowi i uprawnieniom danego organu, na przykład sądownictwa, prokuratury, policji, personelu wojskowego, służby więziennej, urzędników imigracyjnych i innych władz państwowych. Programy i protokoły szkoleń powinny służyć </w:t>
      </w:r>
      <w:r w:rsidR="00476220">
        <w:rPr>
          <w:rFonts w:eastAsia="SimSun"/>
          <w:lang w:val="pl-PL" w:eastAsia="zh-CN"/>
        </w:rPr>
        <w:t>zapewnieniu</w:t>
      </w:r>
      <w:r w:rsidR="00E1256E" w:rsidRPr="00851725">
        <w:rPr>
          <w:rFonts w:eastAsia="SimSun"/>
          <w:lang w:val="pl-PL" w:eastAsia="zh-CN"/>
        </w:rPr>
        <w:t xml:space="preserve">, że pracownicy </w:t>
      </w:r>
      <w:r w:rsidR="00CF67BE" w:rsidRPr="00851725">
        <w:rPr>
          <w:rFonts w:eastAsia="SimSun"/>
          <w:lang w:val="pl-PL" w:eastAsia="zh-CN"/>
        </w:rPr>
        <w:t xml:space="preserve">wszystkich organów państwowych są w pełni świadomi obowiązków państwa wynikających z międzynarodowych przepisów o prawach człowieka oraz międzynarodowego prawa humanitarnego jak również konkretnych konsekwencji wynikających z takich przepisów dla poszczególnych organów. Powinny one także uwzględniać docenienie ważnej roli odgrywanej przez dziennikarzy i inne osoby uczestniczące w działalności medialnej w demokratycznym społeczeństwie oraz poruszać kwestie </w:t>
      </w:r>
      <w:r w:rsidR="00846A95">
        <w:rPr>
          <w:rFonts w:eastAsia="SimSun"/>
          <w:lang w:val="pl-PL" w:eastAsia="zh-CN"/>
        </w:rPr>
        <w:t>związane z płcią</w:t>
      </w:r>
      <w:r w:rsidR="00CF67BE" w:rsidRPr="00851725">
        <w:rPr>
          <w:rFonts w:eastAsia="SimSun"/>
          <w:lang w:val="pl-PL" w:eastAsia="zh-CN"/>
        </w:rPr>
        <w:t>.</w:t>
      </w:r>
    </w:p>
    <w:p w:rsidR="0041404E" w:rsidRPr="00851725" w:rsidRDefault="002045B9" w:rsidP="002045B9">
      <w:pPr>
        <w:tabs>
          <w:tab w:val="left" w:pos="709"/>
        </w:tabs>
        <w:rPr>
          <w:rFonts w:eastAsia="SimSun"/>
          <w:lang w:val="pl-PL" w:eastAsia="zh-CN"/>
        </w:rPr>
      </w:pPr>
      <w:r w:rsidRPr="00851725">
        <w:rPr>
          <w:rFonts w:eastAsia="SimSun"/>
          <w:lang w:val="pl-PL" w:eastAsia="zh-CN"/>
        </w:rPr>
        <w:t>13.</w:t>
      </w:r>
      <w:r w:rsidRPr="00851725">
        <w:rPr>
          <w:rFonts w:eastAsia="SimSun"/>
          <w:lang w:val="pl-PL" w:eastAsia="zh-CN"/>
        </w:rPr>
        <w:tab/>
      </w:r>
      <w:r w:rsidR="0041404E" w:rsidRPr="00851725">
        <w:rPr>
          <w:rFonts w:eastAsia="SimSun"/>
          <w:lang w:val="pl-PL" w:eastAsia="zh-CN"/>
        </w:rPr>
        <w:t>Państwa członkowskie są zobowiązane dokładać starań w celu zapewnienia, że sankcji w stosunku do dziennikarzy i innych osób zaangażowanych w działalność medialną nie stosuje się w sposób dyskryminujący ani arbitralny. Powinny dodatkowo podjąć niezbędne działania legislacyjne i inne</w:t>
      </w:r>
      <w:r w:rsidR="00846A95">
        <w:rPr>
          <w:rFonts w:eastAsia="SimSun"/>
          <w:lang w:val="pl-PL" w:eastAsia="zh-CN"/>
        </w:rPr>
        <w:t xml:space="preserve"> kroki</w:t>
      </w:r>
      <w:r w:rsidR="0041404E" w:rsidRPr="00851725">
        <w:rPr>
          <w:rFonts w:eastAsia="SimSun"/>
          <w:lang w:val="pl-PL" w:eastAsia="zh-CN"/>
        </w:rPr>
        <w:t xml:space="preserve">, aby zapobiegać </w:t>
      </w:r>
      <w:r w:rsidR="00476220">
        <w:rPr>
          <w:rFonts w:eastAsia="SimSun"/>
          <w:lang w:val="pl-PL" w:eastAsia="zh-CN"/>
        </w:rPr>
        <w:t>arbitralnemu</w:t>
      </w:r>
      <w:r w:rsidR="0041404E" w:rsidRPr="00851725">
        <w:rPr>
          <w:rFonts w:eastAsia="SimSun"/>
          <w:lang w:val="pl-PL" w:eastAsia="zh-CN"/>
        </w:rPr>
        <w:t xml:space="preserve">, dokuczliwemu lub złośliwemu stosowaniu prawa </w:t>
      </w:r>
      <w:r w:rsidR="00846A95">
        <w:rPr>
          <w:rFonts w:eastAsia="SimSun"/>
          <w:lang w:val="pl-PL" w:eastAsia="zh-CN"/>
        </w:rPr>
        <w:t>i procesów prawnych w celu zastraszania i uciszania</w:t>
      </w:r>
      <w:r w:rsidR="0041404E" w:rsidRPr="00851725">
        <w:rPr>
          <w:rFonts w:eastAsia="SimSun"/>
          <w:lang w:val="pl-PL" w:eastAsia="zh-CN"/>
        </w:rPr>
        <w:t xml:space="preserve"> dziennikarzy i innych osób aktywnych w mediach. Państwa członkowskie powinny z równą starannością zapewniać, że środki administracyjne</w:t>
      </w:r>
      <w:r w:rsidR="00846A95">
        <w:rPr>
          <w:rFonts w:eastAsia="SimSun"/>
          <w:lang w:val="pl-PL" w:eastAsia="zh-CN"/>
        </w:rPr>
        <w:t>,</w:t>
      </w:r>
      <w:r w:rsidR="0041404E" w:rsidRPr="00851725">
        <w:rPr>
          <w:rFonts w:eastAsia="SimSun"/>
          <w:lang w:val="pl-PL" w:eastAsia="zh-CN"/>
        </w:rPr>
        <w:t xml:space="preserve"> takie jak programy rejestracji, akredytacji lub podatkowe</w:t>
      </w:r>
      <w:r w:rsidR="00846A95">
        <w:rPr>
          <w:rFonts w:eastAsia="SimSun"/>
          <w:lang w:val="pl-PL" w:eastAsia="zh-CN"/>
        </w:rPr>
        <w:t>,</w:t>
      </w:r>
      <w:r w:rsidR="0041404E" w:rsidRPr="00851725">
        <w:rPr>
          <w:rFonts w:eastAsia="SimSun"/>
          <w:lang w:val="pl-PL" w:eastAsia="zh-CN"/>
        </w:rPr>
        <w:t xml:space="preserve"> nie są wykorzystywane do prześladowania dziennikarzy ani innych osób zaangażowanych w pracę mediów ani w celu zmniejszania ich zdolności do skutecznego uczestniczenia w debacie publicznej.</w:t>
      </w:r>
    </w:p>
    <w:p w:rsidR="0041404E" w:rsidRPr="00851725" w:rsidRDefault="002045B9" w:rsidP="002045B9">
      <w:pPr>
        <w:tabs>
          <w:tab w:val="left" w:pos="709"/>
        </w:tabs>
        <w:rPr>
          <w:rFonts w:eastAsia="SimSun"/>
          <w:lang w:val="pl-PL" w:eastAsia="zh-CN"/>
        </w:rPr>
      </w:pPr>
      <w:r w:rsidRPr="00851725">
        <w:rPr>
          <w:rFonts w:eastAsia="SimSun"/>
          <w:lang w:val="pl-PL" w:eastAsia="zh-CN"/>
        </w:rPr>
        <w:t>14.</w:t>
      </w:r>
      <w:r w:rsidRPr="00851725">
        <w:rPr>
          <w:rFonts w:eastAsia="SimSun"/>
          <w:lang w:val="pl-PL" w:eastAsia="zh-CN"/>
        </w:rPr>
        <w:tab/>
      </w:r>
      <w:r w:rsidR="0041404E" w:rsidRPr="00851725">
        <w:rPr>
          <w:rFonts w:eastAsia="SimSun"/>
          <w:lang w:val="pl-PL" w:eastAsia="zh-CN"/>
        </w:rPr>
        <w:t>Państwa członkowskie powinny uwzględniać szczególny c</w:t>
      </w:r>
      <w:r w:rsidR="007564E7">
        <w:rPr>
          <w:rFonts w:eastAsia="SimSun"/>
          <w:lang w:val="pl-PL" w:eastAsia="zh-CN"/>
        </w:rPr>
        <w:t>harakter i wartość demokratyczną</w:t>
      </w:r>
      <w:r w:rsidR="0041404E" w:rsidRPr="00851725">
        <w:rPr>
          <w:rFonts w:eastAsia="SimSun"/>
          <w:lang w:val="pl-PL" w:eastAsia="zh-CN"/>
        </w:rPr>
        <w:t xml:space="preserve"> roli, jaką odgrywają dziennikarze i inne osoby zaangażowane w działalność medialną w określonych kontekstach, takich jak </w:t>
      </w:r>
      <w:r w:rsidR="00585E17">
        <w:rPr>
          <w:rFonts w:eastAsia="SimSun"/>
          <w:lang w:val="pl-PL" w:eastAsia="zh-CN"/>
        </w:rPr>
        <w:t>czasy kryzysu</w:t>
      </w:r>
      <w:r w:rsidR="0041404E" w:rsidRPr="00851725">
        <w:rPr>
          <w:rFonts w:eastAsia="SimSun"/>
          <w:lang w:val="pl-PL" w:eastAsia="zh-CN"/>
        </w:rPr>
        <w:t xml:space="preserve">, </w:t>
      </w:r>
      <w:r w:rsidR="00585E17">
        <w:rPr>
          <w:rFonts w:eastAsia="SimSun"/>
          <w:lang w:val="pl-PL" w:eastAsia="zh-CN"/>
        </w:rPr>
        <w:t xml:space="preserve">okresy </w:t>
      </w:r>
      <w:r w:rsidR="0041404E" w:rsidRPr="00851725">
        <w:rPr>
          <w:rFonts w:eastAsia="SimSun"/>
          <w:lang w:val="pl-PL" w:eastAsia="zh-CN"/>
        </w:rPr>
        <w:t>przedwyborcze, podczas demonstracji publicznych i w strefach konfliktów. Szczególnie w takich sytuacjach ważne jest, aby organy ochrony porządku publicznego szanowały rolę dziennikarzy i innych osób działających w media</w:t>
      </w:r>
      <w:r w:rsidR="007564E7">
        <w:rPr>
          <w:rFonts w:eastAsia="SimSun"/>
          <w:lang w:val="pl-PL" w:eastAsia="zh-CN"/>
        </w:rPr>
        <w:t>ch,</w:t>
      </w:r>
      <w:r w:rsidR="0041404E" w:rsidRPr="00851725">
        <w:rPr>
          <w:rFonts w:eastAsia="SimSun"/>
          <w:lang w:val="pl-PL" w:eastAsia="zh-CN"/>
        </w:rPr>
        <w:t xml:space="preserve"> które relacjonują demonstracje i inne zdarzenia. Władze państwowe powinny </w:t>
      </w:r>
      <w:r w:rsidR="007564E7">
        <w:rPr>
          <w:rFonts w:eastAsia="SimSun"/>
          <w:lang w:val="pl-PL" w:eastAsia="zh-CN"/>
        </w:rPr>
        <w:t>akceptować</w:t>
      </w:r>
      <w:r w:rsidR="0041404E" w:rsidRPr="00851725">
        <w:rPr>
          <w:rFonts w:eastAsia="SimSun"/>
          <w:lang w:val="pl-PL" w:eastAsia="zh-CN"/>
        </w:rPr>
        <w:t xml:space="preserve"> legitymacje prasowe lub związków zawodowych dziennikarzy, odpowiednie akredytacje i oznaki dziennikarzy jako potwierdzenie ich uprawnień. W przypadku gdy dziennikarze i inne osoby zaangażowane w działalność medialną nie są w stanie okazać dokumentu potwierdzającego ich status zawodowy, władze państwowe powinny d</w:t>
      </w:r>
      <w:r w:rsidR="007564E7">
        <w:rPr>
          <w:rFonts w:eastAsia="SimSun"/>
          <w:lang w:val="pl-PL" w:eastAsia="zh-CN"/>
        </w:rPr>
        <w:t>ołożyć wszelkich starań w celu po</w:t>
      </w:r>
      <w:r w:rsidR="0041404E" w:rsidRPr="00851725">
        <w:rPr>
          <w:rFonts w:eastAsia="SimSun"/>
          <w:lang w:val="pl-PL" w:eastAsia="zh-CN"/>
        </w:rPr>
        <w:t>twierdzenia takiego status</w:t>
      </w:r>
      <w:r w:rsidR="007564E7">
        <w:rPr>
          <w:rFonts w:eastAsia="SimSun"/>
          <w:lang w:val="pl-PL" w:eastAsia="zh-CN"/>
        </w:rPr>
        <w:t>u</w:t>
      </w:r>
      <w:r w:rsidR="0041404E" w:rsidRPr="00851725">
        <w:rPr>
          <w:rFonts w:eastAsia="SimSun"/>
          <w:lang w:val="pl-PL" w:eastAsia="zh-CN"/>
        </w:rPr>
        <w:t xml:space="preserve">. Ponadto zachęca się do prowadzenia dialogu między władzami państwowymi a organizacjami dziennikarzy, którego celem powinno być unikanie </w:t>
      </w:r>
      <w:r w:rsidR="00A906B7">
        <w:rPr>
          <w:rFonts w:eastAsia="SimSun"/>
          <w:lang w:val="pl-PL" w:eastAsia="zh-CN"/>
        </w:rPr>
        <w:t>napięć</w:t>
      </w:r>
      <w:r w:rsidR="0041404E" w:rsidRPr="00851725">
        <w:rPr>
          <w:rFonts w:eastAsia="SimSun"/>
          <w:lang w:val="pl-PL" w:eastAsia="zh-CN"/>
        </w:rPr>
        <w:t xml:space="preserve"> i sporów między policją a przedstawicielami mediów.</w:t>
      </w:r>
    </w:p>
    <w:p w:rsidR="0041404E" w:rsidRPr="00851725" w:rsidRDefault="002045B9" w:rsidP="002045B9">
      <w:pPr>
        <w:tabs>
          <w:tab w:val="left" w:pos="709"/>
        </w:tabs>
        <w:rPr>
          <w:rFonts w:eastAsia="SimSun"/>
          <w:lang w:val="pl-PL" w:eastAsia="zh-CN"/>
        </w:rPr>
      </w:pPr>
      <w:r w:rsidRPr="00851725">
        <w:rPr>
          <w:rFonts w:eastAsia="SimSun"/>
          <w:lang w:val="pl-PL" w:eastAsia="zh-CN"/>
        </w:rPr>
        <w:t>15.</w:t>
      </w:r>
      <w:r w:rsidRPr="00851725">
        <w:rPr>
          <w:rFonts w:eastAsia="SimSun"/>
          <w:lang w:val="pl-PL" w:eastAsia="zh-CN"/>
        </w:rPr>
        <w:tab/>
      </w:r>
      <w:r w:rsidR="0041404E" w:rsidRPr="00851725">
        <w:rPr>
          <w:rFonts w:eastAsia="SimSun"/>
          <w:lang w:val="pl-PL" w:eastAsia="zh-CN"/>
        </w:rPr>
        <w:t>Urzędnicy państwowi oraz osoby publiczne nie powinny podważać ani atakować uczciwości zawodowej dziennikarzy ani innych osób działających w mediach, na przykład w związku z ich płcią lub pochodzeniem etnicznym ani poprzez oskarżanie ich o rozpowszechnianie propagandy i tym samym narażając ich n</w:t>
      </w:r>
      <w:r w:rsidR="00B67430">
        <w:rPr>
          <w:rFonts w:eastAsia="SimSun"/>
          <w:lang w:val="pl-PL" w:eastAsia="zh-CN"/>
        </w:rPr>
        <w:t>a niebezpieczeństwo. Nie powinny</w:t>
      </w:r>
      <w:r w:rsidR="0041404E" w:rsidRPr="00851725">
        <w:rPr>
          <w:rFonts w:eastAsia="SimSun"/>
          <w:lang w:val="pl-PL" w:eastAsia="zh-CN"/>
        </w:rPr>
        <w:t xml:space="preserve"> także wymagać, wymuszać ani naciskać na dziennikarzy ani inne osoby zaangażowane w działalność medialną, poprzez stosowanie przemocy, gróźb, kar finansowych ani zachęt lub innych środków, do odchodzenia od przyjętych standardów dziennikarskich i kodeksów </w:t>
      </w:r>
      <w:r w:rsidR="00B67430">
        <w:rPr>
          <w:rFonts w:eastAsia="SimSun"/>
          <w:lang w:val="pl-PL" w:eastAsia="zh-CN"/>
        </w:rPr>
        <w:t xml:space="preserve">postępowania </w:t>
      </w:r>
      <w:r w:rsidR="0041404E" w:rsidRPr="00851725">
        <w:rPr>
          <w:rFonts w:eastAsia="SimSun"/>
          <w:lang w:val="pl-PL" w:eastAsia="zh-CN"/>
        </w:rPr>
        <w:t>przez angażowanie się w rozpowszechnianie propagandy i dezinformacji. Urzędnicy pań</w:t>
      </w:r>
      <w:r w:rsidR="00B67430">
        <w:rPr>
          <w:rFonts w:eastAsia="SimSun"/>
          <w:lang w:val="pl-PL" w:eastAsia="zh-CN"/>
        </w:rPr>
        <w:t>stwowi i osoby publiczne powinny</w:t>
      </w:r>
      <w:r w:rsidR="0041404E" w:rsidRPr="00851725">
        <w:rPr>
          <w:rFonts w:eastAsia="SimSun"/>
          <w:lang w:val="pl-PL" w:eastAsia="zh-CN"/>
        </w:rPr>
        <w:t xml:space="preserve"> publicznie i jednoznacznie potępiać wszystkie przypadki </w:t>
      </w:r>
      <w:r w:rsidR="00A906B7">
        <w:rPr>
          <w:rFonts w:eastAsia="SimSun"/>
          <w:lang w:val="pl-PL" w:eastAsia="zh-CN"/>
        </w:rPr>
        <w:t xml:space="preserve">stosowania </w:t>
      </w:r>
      <w:r w:rsidR="0041404E" w:rsidRPr="00851725">
        <w:rPr>
          <w:rFonts w:eastAsia="SimSun"/>
          <w:lang w:val="pl-PL" w:eastAsia="zh-CN"/>
        </w:rPr>
        <w:t>gróźb i przemocy w stosunku do dziennikarzy i innych osób pracujących na rzecz mediów, niezależnie od źródła takich gróźb lub aktów przemocy.</w:t>
      </w:r>
    </w:p>
    <w:p w:rsidR="0041404E" w:rsidRPr="00851725" w:rsidRDefault="002045B9" w:rsidP="002045B9">
      <w:pPr>
        <w:tabs>
          <w:tab w:val="left" w:pos="709"/>
        </w:tabs>
        <w:rPr>
          <w:rFonts w:eastAsia="SimSun"/>
          <w:lang w:val="pl-PL" w:eastAsia="zh-CN"/>
        </w:rPr>
      </w:pPr>
      <w:r w:rsidRPr="00851725">
        <w:rPr>
          <w:rFonts w:eastAsia="SimSun"/>
          <w:lang w:val="pl-PL" w:eastAsia="zh-CN"/>
        </w:rPr>
        <w:lastRenderedPageBreak/>
        <w:t>16.</w:t>
      </w:r>
      <w:r w:rsidRPr="00851725">
        <w:rPr>
          <w:rFonts w:eastAsia="SimSun"/>
          <w:lang w:val="pl-PL" w:eastAsia="zh-CN"/>
        </w:rPr>
        <w:tab/>
      </w:r>
      <w:r w:rsidR="0041404E" w:rsidRPr="00851725">
        <w:rPr>
          <w:rFonts w:eastAsia="SimSun"/>
          <w:lang w:val="pl-PL" w:eastAsia="zh-CN"/>
        </w:rPr>
        <w:t xml:space="preserve">Państwa członkowskie powinny zachęcać </w:t>
      </w:r>
      <w:r w:rsidR="00DC086B" w:rsidRPr="00851725">
        <w:rPr>
          <w:rFonts w:eastAsia="SimSun"/>
          <w:lang w:val="pl-PL" w:eastAsia="zh-CN"/>
        </w:rPr>
        <w:t>organizacje branży medialnej, nie ingerując jednocześnie w ich a</w:t>
      </w:r>
      <w:r w:rsidR="00FF6673">
        <w:rPr>
          <w:rFonts w:eastAsia="SimSun"/>
          <w:lang w:val="pl-PL" w:eastAsia="zh-CN"/>
        </w:rPr>
        <w:t>utonomię redakcyjną ani działalność</w:t>
      </w:r>
      <w:r w:rsidR="00DC086B" w:rsidRPr="00851725">
        <w:rPr>
          <w:rFonts w:eastAsia="SimSun"/>
          <w:lang w:val="pl-PL" w:eastAsia="zh-CN"/>
        </w:rPr>
        <w:t xml:space="preserve">, by w pełni realizowały swoje obowiązki instytucjonalne w stosunku do wszystkich dziennikarzy i innych osób pracujących dla mediów, w ramach stałego zatrudnienia, jako wolni strzelcy lub w innym charakterze. Takie obowiązki mogą obejmować opracowywanie wewnętrznych wytycznych i procedur </w:t>
      </w:r>
      <w:r w:rsidR="00AB4326" w:rsidRPr="00851725">
        <w:rPr>
          <w:rFonts w:eastAsia="SimSun"/>
          <w:lang w:val="pl-PL" w:eastAsia="zh-CN"/>
        </w:rPr>
        <w:t xml:space="preserve">wdrażania dziennikarzy i innych osób zaangażowanych w działalność medialną w realizację trudnych lub niebezpiecznych zadań, na przykład w strefach konfliktów. Delegowanie do wykonywania takich obowiązków powinno być dobrowolne i opierać się na posiadaniu wiedzy o charakterze zadania. Odpowiedzialności instytucjonalne obejmują także przekazywanie dziennikarzom i innym osobom aktywnym w mediach odpowiednich informacji i wiedzy o występujących ryzykach, zapewnianie odpowiedniego szkolenia dotyczącego wszystkich aspektów bezpieczeństwa, ochrony cyfrowej i prywatności, oraz </w:t>
      </w:r>
      <w:r w:rsidR="00A05FDA">
        <w:rPr>
          <w:rFonts w:eastAsia="SimSun"/>
          <w:lang w:val="pl-PL" w:eastAsia="zh-CN"/>
        </w:rPr>
        <w:t>wykupywanie</w:t>
      </w:r>
      <w:r w:rsidR="00AB4326" w:rsidRPr="00851725">
        <w:rPr>
          <w:rFonts w:eastAsia="SimSun"/>
          <w:lang w:val="pl-PL" w:eastAsia="zh-CN"/>
        </w:rPr>
        <w:t xml:space="preserve"> ubezpieczeń na życie i zdrowotnych oraz w podróży jako elementu kompleksowych i </w:t>
      </w:r>
      <w:r w:rsidR="00FF6673">
        <w:rPr>
          <w:rFonts w:eastAsia="SimSun"/>
          <w:lang w:val="pl-PL" w:eastAsia="zh-CN"/>
        </w:rPr>
        <w:t>uczciwych</w:t>
      </w:r>
      <w:r w:rsidR="00AB4326" w:rsidRPr="00851725">
        <w:rPr>
          <w:rFonts w:eastAsia="SimSun"/>
          <w:lang w:val="pl-PL" w:eastAsia="zh-CN"/>
        </w:rPr>
        <w:t xml:space="preserve"> warunków pracy. Do obowiązków organizacji branży medialnej należy dodatkowo zapewnianie wsparcia</w:t>
      </w:r>
      <w:r w:rsidR="00FF6673">
        <w:rPr>
          <w:rFonts w:eastAsia="SimSun"/>
          <w:lang w:val="pl-PL" w:eastAsia="zh-CN"/>
        </w:rPr>
        <w:t>,</w:t>
      </w:r>
      <w:r w:rsidR="00AB4326" w:rsidRPr="00851725">
        <w:rPr>
          <w:rFonts w:eastAsia="SimSun"/>
          <w:lang w:val="pl-PL" w:eastAsia="zh-CN"/>
        </w:rPr>
        <w:t xml:space="preserve"> reprezentacji prawnej oraz pomocy psychologicznej po zakończeniu niebezpiecznego zadania.</w:t>
      </w:r>
    </w:p>
    <w:p w:rsidR="002045B9" w:rsidRPr="00851725" w:rsidRDefault="00AB4326" w:rsidP="002045B9">
      <w:pPr>
        <w:tabs>
          <w:tab w:val="left" w:pos="709"/>
        </w:tabs>
        <w:rPr>
          <w:rFonts w:eastAsia="SimSun"/>
          <w:b/>
          <w:i/>
          <w:lang w:val="pl-PL" w:eastAsia="zh-CN"/>
        </w:rPr>
      </w:pPr>
      <w:r w:rsidRPr="00851725">
        <w:rPr>
          <w:rFonts w:eastAsia="SimSun"/>
          <w:b/>
          <w:i/>
          <w:lang w:val="pl-PL" w:eastAsia="zh-CN"/>
        </w:rPr>
        <w:t>Ściganie przestępstw</w:t>
      </w:r>
    </w:p>
    <w:p w:rsidR="00AB4326" w:rsidRPr="00851725" w:rsidRDefault="002045B9" w:rsidP="002045B9">
      <w:pPr>
        <w:tabs>
          <w:tab w:val="left" w:pos="709"/>
        </w:tabs>
        <w:rPr>
          <w:rFonts w:eastAsia="SimSun"/>
          <w:lang w:val="pl-PL" w:eastAsia="zh-CN"/>
        </w:rPr>
      </w:pPr>
      <w:r w:rsidRPr="00851725">
        <w:rPr>
          <w:rFonts w:eastAsia="SimSun"/>
          <w:lang w:val="pl-PL" w:eastAsia="zh-CN"/>
        </w:rPr>
        <w:t>17.</w:t>
      </w:r>
      <w:r w:rsidRPr="00851725">
        <w:rPr>
          <w:rFonts w:eastAsia="SimSun"/>
          <w:lang w:val="pl-PL" w:eastAsia="zh-CN"/>
        </w:rPr>
        <w:tab/>
      </w:r>
      <w:r w:rsidR="004E0980" w:rsidRPr="00851725">
        <w:rPr>
          <w:rFonts w:eastAsia="SimSun"/>
          <w:lang w:val="pl-PL" w:eastAsia="zh-CN"/>
        </w:rPr>
        <w:t xml:space="preserve">Każda osoba zamieszana w zabójstwo, ataki lub znęcanie się nad dziennikarzami lub innymi osobami zaangażowanymi w działalność medialną musi stanąć przed wymiarem sprawiedliwości. Dlatego dochodzenia w sprawie takich przestępstw oraz ściganie osób odpowiedzialnych za nie muszą spełniać szereg ogólnych wymogów. W sytuacji gdy sprawcy takich przestępstw nie zostają postawieni w stan oskarżenia, </w:t>
      </w:r>
      <w:r w:rsidR="00570B79">
        <w:rPr>
          <w:rFonts w:eastAsia="SimSun"/>
          <w:lang w:val="pl-PL" w:eastAsia="zh-CN"/>
        </w:rPr>
        <w:t>tworzy to</w:t>
      </w:r>
      <w:r w:rsidR="004E0980" w:rsidRPr="00851725">
        <w:rPr>
          <w:rFonts w:eastAsia="SimSun"/>
          <w:lang w:val="pl-PL" w:eastAsia="zh-CN"/>
        </w:rPr>
        <w:t xml:space="preserve"> przekonanie o ich bezkarności, co wymaga podjęcia szczególnych działań.</w:t>
      </w:r>
    </w:p>
    <w:p w:rsidR="002045B9" w:rsidRPr="00851725" w:rsidRDefault="004E0980" w:rsidP="002045B9">
      <w:pPr>
        <w:tabs>
          <w:tab w:val="left" w:pos="709"/>
        </w:tabs>
        <w:rPr>
          <w:rFonts w:eastAsia="SimSun"/>
          <w:u w:val="single"/>
          <w:lang w:val="pl-PL" w:eastAsia="zh-CN"/>
        </w:rPr>
      </w:pPr>
      <w:r w:rsidRPr="00851725">
        <w:rPr>
          <w:rFonts w:eastAsia="SimSun"/>
          <w:u w:val="single"/>
          <w:lang w:val="pl-PL" w:eastAsia="zh-CN"/>
        </w:rPr>
        <w:t>Wymogi ogólne</w:t>
      </w:r>
    </w:p>
    <w:p w:rsidR="004E0980" w:rsidRPr="00851725" w:rsidRDefault="002045B9" w:rsidP="002045B9">
      <w:pPr>
        <w:tabs>
          <w:tab w:val="left" w:pos="709"/>
        </w:tabs>
        <w:rPr>
          <w:rFonts w:eastAsia="SimSun"/>
          <w:lang w:val="pl-PL" w:eastAsia="zh-CN"/>
        </w:rPr>
      </w:pPr>
      <w:r w:rsidRPr="00851725">
        <w:rPr>
          <w:rFonts w:eastAsia="SimSun"/>
          <w:lang w:val="pl-PL" w:eastAsia="zh-CN"/>
        </w:rPr>
        <w:t>18.</w:t>
      </w:r>
      <w:r w:rsidRPr="00851725">
        <w:rPr>
          <w:rFonts w:eastAsia="SimSun"/>
          <w:lang w:val="pl-PL" w:eastAsia="zh-CN"/>
        </w:rPr>
        <w:tab/>
      </w:r>
      <w:r w:rsidR="004E0980" w:rsidRPr="00851725">
        <w:rPr>
          <w:rFonts w:eastAsia="SimSun"/>
          <w:lang w:val="pl-PL" w:eastAsia="zh-CN"/>
        </w:rPr>
        <w:t>Śledztwa w sprawach o zabójstwo, ataki lub znęcanie się muszą być skuteczne i tym samym spełniać podstawowe wymogi dokładności, staranności, bezstronności i niezależności, szybkości działania i kontroli ze strony opinii publicznej.</w:t>
      </w:r>
    </w:p>
    <w:p w:rsidR="004E0980" w:rsidRPr="00851725" w:rsidRDefault="002045B9" w:rsidP="002045B9">
      <w:pPr>
        <w:tabs>
          <w:tab w:val="left" w:pos="709"/>
        </w:tabs>
        <w:rPr>
          <w:rFonts w:eastAsia="SimSun"/>
          <w:lang w:val="pl-PL" w:eastAsia="zh-CN"/>
        </w:rPr>
      </w:pPr>
      <w:r w:rsidRPr="00851725">
        <w:rPr>
          <w:rFonts w:eastAsia="SimSun"/>
          <w:lang w:val="pl-PL" w:eastAsia="zh-CN"/>
        </w:rPr>
        <w:t>19.</w:t>
      </w:r>
      <w:r w:rsidRPr="00851725">
        <w:rPr>
          <w:rFonts w:eastAsia="SimSun"/>
          <w:lang w:val="pl-PL" w:eastAsia="zh-CN"/>
        </w:rPr>
        <w:tab/>
      </w:r>
      <w:r w:rsidR="00F57B60" w:rsidRPr="00851725">
        <w:rPr>
          <w:rFonts w:eastAsia="SimSun"/>
          <w:lang w:val="pl-PL" w:eastAsia="zh-CN"/>
        </w:rPr>
        <w:t>Dochodzenia muszą</w:t>
      </w:r>
      <w:r w:rsidR="004E0980" w:rsidRPr="00851725">
        <w:rPr>
          <w:rFonts w:eastAsia="SimSun"/>
          <w:lang w:val="pl-PL" w:eastAsia="zh-CN"/>
        </w:rPr>
        <w:t xml:space="preserve"> być skuteczne, co oznacza, że </w:t>
      </w:r>
      <w:r w:rsidR="00F57B60" w:rsidRPr="00851725">
        <w:rPr>
          <w:rFonts w:eastAsia="SimSun"/>
          <w:lang w:val="pl-PL" w:eastAsia="zh-CN"/>
        </w:rPr>
        <w:t xml:space="preserve">prowadzą </w:t>
      </w:r>
      <w:r w:rsidR="004E0980" w:rsidRPr="00851725">
        <w:rPr>
          <w:rFonts w:eastAsia="SimSun"/>
          <w:lang w:val="pl-PL" w:eastAsia="zh-CN"/>
        </w:rPr>
        <w:t xml:space="preserve">do ustalenia istotnych faktów oraz </w:t>
      </w:r>
      <w:r w:rsidR="00A05FDA">
        <w:rPr>
          <w:rFonts w:eastAsia="SimSun"/>
          <w:lang w:val="pl-PL" w:eastAsia="zh-CN"/>
        </w:rPr>
        <w:t>znalezienia</w:t>
      </w:r>
      <w:r w:rsidR="004E0980" w:rsidRPr="00851725">
        <w:rPr>
          <w:rFonts w:eastAsia="SimSun"/>
          <w:lang w:val="pl-PL" w:eastAsia="zh-CN"/>
        </w:rPr>
        <w:t xml:space="preserve"> sprawców i ostatecznie, w stosownych przypadkach, ich ukarania.</w:t>
      </w:r>
      <w:r w:rsidR="00F57B60" w:rsidRPr="00851725">
        <w:rPr>
          <w:rFonts w:eastAsia="SimSun"/>
          <w:lang w:val="pl-PL" w:eastAsia="zh-CN"/>
        </w:rPr>
        <w:t xml:space="preserve"> Władze muszą podejmować wszelkie uzasadnione kroki w celu zabezpieczenia dowodów związanych ze zdarzeniem. Wnioski ze śledztwa muszą opierać się na dokładnej, obiektywnej i bezstronnej analizie wszystkich istotnych elementów, m.in. określeniu, czy występuje związek między groźbami </w:t>
      </w:r>
      <w:r w:rsidR="00570B79">
        <w:rPr>
          <w:rFonts w:eastAsia="SimSun"/>
          <w:lang w:val="pl-PL" w:eastAsia="zh-CN"/>
        </w:rPr>
        <w:t>i</w:t>
      </w:r>
      <w:r w:rsidR="00F57B60" w:rsidRPr="00851725">
        <w:rPr>
          <w:rFonts w:eastAsia="SimSun"/>
          <w:lang w:val="pl-PL" w:eastAsia="zh-CN"/>
        </w:rPr>
        <w:t xml:space="preserve"> przemocą w stosunku do dziennikarzy i innych osób uczestnicz</w:t>
      </w:r>
      <w:r w:rsidR="00570B79">
        <w:rPr>
          <w:rFonts w:eastAsia="SimSun"/>
          <w:lang w:val="pl-PL" w:eastAsia="zh-CN"/>
        </w:rPr>
        <w:t>ących w działalności medialnej</w:t>
      </w:r>
      <w:r w:rsidR="00B67430">
        <w:rPr>
          <w:rFonts w:eastAsia="SimSun"/>
          <w:lang w:val="pl-PL" w:eastAsia="zh-CN"/>
        </w:rPr>
        <w:t>,</w:t>
      </w:r>
      <w:r w:rsidR="00570B79">
        <w:rPr>
          <w:rFonts w:eastAsia="SimSun"/>
          <w:lang w:val="pl-PL" w:eastAsia="zh-CN"/>
        </w:rPr>
        <w:t xml:space="preserve"> a</w:t>
      </w:r>
      <w:r w:rsidR="00F57B60" w:rsidRPr="00851725">
        <w:rPr>
          <w:rFonts w:eastAsia="SimSun"/>
          <w:lang w:val="pl-PL" w:eastAsia="zh-CN"/>
        </w:rPr>
        <w:t xml:space="preserve"> prowadzeniem działalności dziennikarskiej lub przyczyniającej się w inny sposób do debaty publicznej. Organy państwowe są zobowiązane </w:t>
      </w:r>
      <w:r w:rsidR="00A05FDA">
        <w:rPr>
          <w:rFonts w:eastAsia="SimSun"/>
          <w:lang w:val="pl-PL" w:eastAsia="zh-CN"/>
        </w:rPr>
        <w:t>dodatkowo</w:t>
      </w:r>
      <w:r w:rsidR="00F57B60" w:rsidRPr="00851725">
        <w:rPr>
          <w:rFonts w:eastAsia="SimSun"/>
          <w:lang w:val="pl-PL" w:eastAsia="zh-CN"/>
        </w:rPr>
        <w:t xml:space="preserve"> do badania, czy występuje ewentualny związek między postawami rasistowskimi a aktem przemocy. Badane musi być również występowanie kwestii związanych z płcią.</w:t>
      </w:r>
    </w:p>
    <w:p w:rsidR="00F57B60" w:rsidRPr="00851725" w:rsidRDefault="002045B9" w:rsidP="002045B9">
      <w:pPr>
        <w:tabs>
          <w:tab w:val="left" w:pos="709"/>
        </w:tabs>
        <w:rPr>
          <w:rFonts w:eastAsia="SimSun"/>
          <w:lang w:val="pl-PL" w:eastAsia="zh-CN"/>
        </w:rPr>
      </w:pPr>
      <w:r w:rsidRPr="00851725">
        <w:rPr>
          <w:rFonts w:eastAsia="SimSun"/>
          <w:lang w:val="pl-PL" w:eastAsia="zh-CN"/>
        </w:rPr>
        <w:t>20.</w:t>
      </w:r>
      <w:r w:rsidRPr="00851725">
        <w:rPr>
          <w:rFonts w:eastAsia="SimSun"/>
          <w:lang w:val="pl-PL" w:eastAsia="zh-CN"/>
        </w:rPr>
        <w:tab/>
      </w:r>
      <w:r w:rsidR="00F57B60" w:rsidRPr="00851725">
        <w:rPr>
          <w:rFonts w:eastAsia="SimSun"/>
          <w:lang w:val="pl-PL" w:eastAsia="zh-CN"/>
        </w:rPr>
        <w:t xml:space="preserve">Dla zapewnienia skuteczności </w:t>
      </w:r>
      <w:r w:rsidR="00A05FDA">
        <w:rPr>
          <w:rFonts w:eastAsia="SimSun"/>
          <w:lang w:val="pl-PL" w:eastAsia="zh-CN"/>
        </w:rPr>
        <w:t>śledztwa</w:t>
      </w:r>
      <w:r w:rsidR="00F57B60" w:rsidRPr="00851725">
        <w:rPr>
          <w:rFonts w:eastAsia="SimSun"/>
          <w:lang w:val="pl-PL" w:eastAsia="zh-CN"/>
        </w:rPr>
        <w:t xml:space="preserve"> osoby odp</w:t>
      </w:r>
      <w:r w:rsidR="00347A4C">
        <w:rPr>
          <w:rFonts w:eastAsia="SimSun"/>
          <w:lang w:val="pl-PL" w:eastAsia="zh-CN"/>
        </w:rPr>
        <w:t>owiedzialne za jego przeprowadze</w:t>
      </w:r>
      <w:r w:rsidR="00F57B60" w:rsidRPr="00851725">
        <w:rPr>
          <w:rFonts w:eastAsia="SimSun"/>
          <w:lang w:val="pl-PL" w:eastAsia="zh-CN"/>
        </w:rPr>
        <w:t>nie muszą być niezależne i bezstronne, zarówno pod względem prawnym jak i praktycznym. Każda osoba lub instytucja zamieszana w dowolny sposób w sprawę m</w:t>
      </w:r>
      <w:r w:rsidR="00570B79">
        <w:rPr>
          <w:rFonts w:eastAsia="SimSun"/>
          <w:lang w:val="pl-PL" w:eastAsia="zh-CN"/>
        </w:rPr>
        <w:t>usi zostać wyłączona z wszelkiego udziału</w:t>
      </w:r>
      <w:r w:rsidR="00F57B60" w:rsidRPr="00851725">
        <w:rPr>
          <w:rFonts w:eastAsia="SimSun"/>
          <w:lang w:val="pl-PL" w:eastAsia="zh-CN"/>
        </w:rPr>
        <w:t xml:space="preserve"> w dochodzeniu. Ponadto śledztwa powinny być prowadzone przez wyspecjalizowane </w:t>
      </w:r>
      <w:r w:rsidR="00570B79">
        <w:rPr>
          <w:rFonts w:eastAsia="SimSun"/>
          <w:lang w:val="pl-PL" w:eastAsia="zh-CN"/>
        </w:rPr>
        <w:t xml:space="preserve">i </w:t>
      </w:r>
      <w:r w:rsidR="00F57B60" w:rsidRPr="00851725">
        <w:rPr>
          <w:rFonts w:eastAsia="SimSun"/>
          <w:lang w:val="pl-PL" w:eastAsia="zh-CN"/>
        </w:rPr>
        <w:t>wyznaczone jednostki odpowiednich organów państwowych, których urzędnicy przeszli odpowiednie szkolenia w zakresie standardów i ochrony praw człowieka. Dochodzenia muszą być skuteczne, aby budować zaufanie opinii publicznej do przestrzegani</w:t>
      </w:r>
      <w:r w:rsidR="00347A4C">
        <w:rPr>
          <w:rFonts w:eastAsia="SimSun"/>
          <w:lang w:val="pl-PL" w:eastAsia="zh-CN"/>
        </w:rPr>
        <w:t xml:space="preserve">a przepisów prawa przez władze i </w:t>
      </w:r>
      <w:r w:rsidR="00F57B60" w:rsidRPr="00851725">
        <w:rPr>
          <w:rFonts w:eastAsia="SimSun"/>
          <w:lang w:val="pl-PL" w:eastAsia="zh-CN"/>
        </w:rPr>
        <w:t xml:space="preserve">zapobiegać </w:t>
      </w:r>
      <w:r w:rsidR="000A109F">
        <w:rPr>
          <w:rFonts w:eastAsia="SimSun"/>
          <w:lang w:val="pl-PL" w:eastAsia="zh-CN"/>
        </w:rPr>
        <w:t>powstawaniu wrażenia</w:t>
      </w:r>
      <w:r w:rsidR="00F57B60" w:rsidRPr="00851725">
        <w:rPr>
          <w:rFonts w:eastAsia="SimSun"/>
          <w:lang w:val="pl-PL" w:eastAsia="zh-CN"/>
        </w:rPr>
        <w:t xml:space="preserve"> istnienia zmowy lub tolerowania </w:t>
      </w:r>
      <w:r w:rsidR="00A05FDA" w:rsidRPr="00851725">
        <w:rPr>
          <w:rFonts w:eastAsia="SimSun"/>
          <w:lang w:val="pl-PL" w:eastAsia="zh-CN"/>
        </w:rPr>
        <w:t xml:space="preserve">czynów </w:t>
      </w:r>
      <w:r w:rsidR="00F57B60" w:rsidRPr="00851725">
        <w:rPr>
          <w:rFonts w:eastAsia="SimSun"/>
          <w:lang w:val="pl-PL" w:eastAsia="zh-CN"/>
        </w:rPr>
        <w:t xml:space="preserve">bezprawnych. W sprawach dotyczących przedstawicieli lub organów państwowych celem musi być zapewnienie ich odpowiedzialności </w:t>
      </w:r>
      <w:r w:rsidR="00F57B60" w:rsidRPr="00851725">
        <w:rPr>
          <w:rFonts w:eastAsia="SimSun"/>
          <w:lang w:val="pl-PL" w:eastAsia="zh-CN"/>
        </w:rPr>
        <w:lastRenderedPageBreak/>
        <w:t xml:space="preserve">za przypadki zgonów, które występują w obszarze ich odpowiedzialności. Dochodzenia powinny być dodatkowo </w:t>
      </w:r>
      <w:r w:rsidR="000A109F">
        <w:rPr>
          <w:rFonts w:eastAsia="SimSun"/>
          <w:lang w:val="pl-PL" w:eastAsia="zh-CN"/>
        </w:rPr>
        <w:t>przedmiotem kontroli społecznej</w:t>
      </w:r>
      <w:r w:rsidR="00F57B60" w:rsidRPr="00851725">
        <w:rPr>
          <w:rFonts w:eastAsia="SimSun"/>
          <w:lang w:val="pl-PL" w:eastAsia="zh-CN"/>
        </w:rPr>
        <w:t xml:space="preserve"> i we wszystkich przypadkach najbliżsi krewni ofiary muszą uczestniczyć w postępowaniu w zakresie niezbędnym do zapewnienia ich uzasadnionych interesów.</w:t>
      </w:r>
    </w:p>
    <w:p w:rsidR="00F57B60" w:rsidRPr="00851725" w:rsidRDefault="002045B9" w:rsidP="002045B9">
      <w:pPr>
        <w:tabs>
          <w:tab w:val="left" w:pos="709"/>
        </w:tabs>
        <w:rPr>
          <w:rFonts w:eastAsia="SimSun"/>
          <w:lang w:val="pl-PL" w:eastAsia="zh-CN"/>
        </w:rPr>
      </w:pPr>
      <w:r w:rsidRPr="00851725">
        <w:rPr>
          <w:rFonts w:eastAsia="SimSun"/>
          <w:lang w:val="pl-PL" w:eastAsia="zh-CN"/>
        </w:rPr>
        <w:t>21.</w:t>
      </w:r>
      <w:r w:rsidRPr="00851725">
        <w:rPr>
          <w:rFonts w:eastAsia="SimSun"/>
          <w:lang w:val="pl-PL" w:eastAsia="zh-CN"/>
        </w:rPr>
        <w:tab/>
      </w:r>
      <w:r w:rsidR="00F57B60" w:rsidRPr="00851725">
        <w:rPr>
          <w:rFonts w:eastAsia="SimSun"/>
          <w:lang w:val="pl-PL" w:eastAsia="zh-CN"/>
        </w:rPr>
        <w:t>Państwa członkowskie ponoszą odpowiedzialność za podejmowanie wszelkich niezbędnych kroków w celu postawienia sprawców przestępstw wobec dziennikarzy i innych osób zaangażowanych w działalność medialną przed wymiarem sprawiedliwości</w:t>
      </w:r>
      <w:r w:rsidR="004C07B2" w:rsidRPr="00851725">
        <w:rPr>
          <w:rFonts w:eastAsia="SimSun"/>
          <w:lang w:val="pl-PL" w:eastAsia="zh-CN"/>
        </w:rPr>
        <w:t xml:space="preserve">, niezależnie od tego, czy są oni urzędnikami państwowymi. W dochodzeniach i ściganiu należy uwzględnić rolę wszystkich osób, rzeczywistą i potencjalną, np. jako pomysłodawca, </w:t>
      </w:r>
      <w:r w:rsidR="00A05FDA" w:rsidRPr="00851725">
        <w:rPr>
          <w:rFonts w:eastAsia="SimSun"/>
          <w:lang w:val="pl-PL" w:eastAsia="zh-CN"/>
        </w:rPr>
        <w:t>prowodyr</w:t>
      </w:r>
      <w:r w:rsidR="004C07B2" w:rsidRPr="00851725">
        <w:rPr>
          <w:rFonts w:eastAsia="SimSun"/>
          <w:lang w:val="pl-PL" w:eastAsia="zh-CN"/>
        </w:rPr>
        <w:t>, sprawca lub wspólnik, oraz odpowiedzialność prawną wynikającą z takich działań.</w:t>
      </w:r>
    </w:p>
    <w:p w:rsidR="004C07B2" w:rsidRPr="00851725" w:rsidRDefault="002045B9" w:rsidP="002045B9">
      <w:pPr>
        <w:tabs>
          <w:tab w:val="left" w:pos="709"/>
        </w:tabs>
        <w:rPr>
          <w:rFonts w:eastAsia="SimSun"/>
          <w:lang w:val="pl-PL" w:eastAsia="zh-CN"/>
        </w:rPr>
      </w:pPr>
      <w:r w:rsidRPr="00851725">
        <w:rPr>
          <w:rFonts w:eastAsia="SimSun"/>
          <w:lang w:val="pl-PL" w:eastAsia="zh-CN"/>
        </w:rPr>
        <w:t>22.</w:t>
      </w:r>
      <w:r w:rsidRPr="00851725">
        <w:rPr>
          <w:rFonts w:eastAsia="SimSun"/>
          <w:lang w:val="pl-PL" w:eastAsia="zh-CN"/>
        </w:rPr>
        <w:tab/>
      </w:r>
      <w:r w:rsidR="004C07B2" w:rsidRPr="00851725">
        <w:rPr>
          <w:rFonts w:eastAsia="SimSun"/>
          <w:lang w:val="pl-PL" w:eastAsia="zh-CN"/>
        </w:rPr>
        <w:t xml:space="preserve">Państwa członkowskie mają obowiązek zapewnić uczciwość postępowań sądowych oraz </w:t>
      </w:r>
      <w:r w:rsidR="00A05FDA">
        <w:rPr>
          <w:rFonts w:eastAsia="SimSun"/>
          <w:lang w:val="pl-PL" w:eastAsia="zh-CN"/>
        </w:rPr>
        <w:t>zagwarantować</w:t>
      </w:r>
      <w:r w:rsidR="004C07B2" w:rsidRPr="00851725">
        <w:rPr>
          <w:rFonts w:eastAsia="SimSun"/>
          <w:lang w:val="pl-PL" w:eastAsia="zh-CN"/>
        </w:rPr>
        <w:t xml:space="preserve"> niezależność i bezstronność wymiaru sprawiedliwości. Ich obowiązkiem jest także zapewnienie bezpieczeństwa sędziów, prokuratorów, adwokatów i świadków uczestniczących w ściganiu przestępstw przeciw</w:t>
      </w:r>
      <w:r w:rsidR="001F79AD">
        <w:rPr>
          <w:rFonts w:eastAsia="SimSun"/>
          <w:lang w:val="pl-PL" w:eastAsia="zh-CN"/>
        </w:rPr>
        <w:t>ko</w:t>
      </w:r>
      <w:r w:rsidR="004C07B2" w:rsidRPr="00851725">
        <w:rPr>
          <w:rFonts w:eastAsia="SimSun"/>
          <w:lang w:val="pl-PL" w:eastAsia="zh-CN"/>
        </w:rPr>
        <w:t xml:space="preserve"> dziennikarzom i innym osobom uczestniczącym w działalności medialnej.</w:t>
      </w:r>
    </w:p>
    <w:p w:rsidR="004C07B2" w:rsidRPr="00851725" w:rsidRDefault="002045B9" w:rsidP="002045B9">
      <w:pPr>
        <w:tabs>
          <w:tab w:val="left" w:pos="709"/>
        </w:tabs>
        <w:rPr>
          <w:rFonts w:eastAsia="SimSun"/>
          <w:lang w:val="pl-PL" w:eastAsia="zh-CN"/>
        </w:rPr>
      </w:pPr>
      <w:r w:rsidRPr="00851725">
        <w:rPr>
          <w:rFonts w:eastAsia="SimSun"/>
          <w:lang w:val="pl-PL" w:eastAsia="zh-CN"/>
        </w:rPr>
        <w:t>23.</w:t>
      </w:r>
      <w:r w:rsidRPr="00851725">
        <w:rPr>
          <w:rFonts w:eastAsia="SimSun"/>
          <w:lang w:val="pl-PL" w:eastAsia="zh-CN"/>
        </w:rPr>
        <w:tab/>
      </w:r>
      <w:r w:rsidR="004C07B2" w:rsidRPr="00851725">
        <w:rPr>
          <w:rFonts w:eastAsia="SimSun"/>
          <w:lang w:val="pl-PL" w:eastAsia="zh-CN"/>
        </w:rPr>
        <w:t>Obowiązkiem państw członkowskich jest zapewnienie dostępności skutecznych i odpowiednich środków dla ofiar i</w:t>
      </w:r>
      <w:r w:rsidR="00347A4C">
        <w:rPr>
          <w:rFonts w:eastAsia="SimSun"/>
          <w:lang w:val="pl-PL" w:eastAsia="zh-CN"/>
        </w:rPr>
        <w:t>,</w:t>
      </w:r>
      <w:r w:rsidR="004C07B2" w:rsidRPr="00851725">
        <w:rPr>
          <w:rFonts w:eastAsia="SimSun"/>
          <w:lang w:val="pl-PL" w:eastAsia="zh-CN"/>
        </w:rPr>
        <w:t xml:space="preserve"> w stosownych przypadkach</w:t>
      </w:r>
      <w:r w:rsidR="00347A4C">
        <w:rPr>
          <w:rFonts w:eastAsia="SimSun"/>
          <w:lang w:val="pl-PL" w:eastAsia="zh-CN"/>
        </w:rPr>
        <w:t>,</w:t>
      </w:r>
      <w:r w:rsidR="004C07B2" w:rsidRPr="00851725">
        <w:rPr>
          <w:rFonts w:eastAsia="SimSun"/>
          <w:lang w:val="pl-PL" w:eastAsia="zh-CN"/>
        </w:rPr>
        <w:t xml:space="preserve"> ich rodzin, w tym środków prawnych, rekompensat finansowych, pomocy lekarskiej i poradnictwa psychologicznego, zmiany miejsca zamieszkania i zapewnienia schronienia. Środki takie powinny uwzględniać aspekty związane z płcią, kulturą, pochodzeniem etnicznym, wyznaniem, itp. Toczące się postępowanie karne nie powinno uniemożliwiać ofiarom korzystania ze środków prawnych dostępnych na bazie prawa cywilnego.</w:t>
      </w:r>
    </w:p>
    <w:p w:rsidR="002045B9" w:rsidRPr="00851725" w:rsidRDefault="004C07B2" w:rsidP="002045B9">
      <w:pPr>
        <w:tabs>
          <w:tab w:val="left" w:pos="709"/>
        </w:tabs>
        <w:rPr>
          <w:rFonts w:eastAsia="SimSun"/>
          <w:u w:val="single"/>
          <w:lang w:val="pl-PL" w:eastAsia="zh-CN"/>
        </w:rPr>
      </w:pPr>
      <w:r w:rsidRPr="00851725">
        <w:rPr>
          <w:rFonts w:eastAsia="SimSun"/>
          <w:u w:val="single"/>
          <w:lang w:val="pl-PL" w:eastAsia="zh-CN"/>
        </w:rPr>
        <w:t>Bezkarność sprawców</w:t>
      </w:r>
    </w:p>
    <w:p w:rsidR="004C07B2" w:rsidRPr="00851725" w:rsidRDefault="002045B9" w:rsidP="002045B9">
      <w:pPr>
        <w:tabs>
          <w:tab w:val="left" w:pos="709"/>
        </w:tabs>
        <w:rPr>
          <w:rFonts w:eastAsia="SimSun"/>
          <w:lang w:val="pl-PL" w:eastAsia="zh-CN"/>
        </w:rPr>
      </w:pPr>
      <w:r w:rsidRPr="00851725">
        <w:rPr>
          <w:rFonts w:eastAsia="SimSun"/>
          <w:lang w:val="pl-PL" w:eastAsia="zh-CN"/>
        </w:rPr>
        <w:t>24.</w:t>
      </w:r>
      <w:r w:rsidRPr="00851725">
        <w:rPr>
          <w:rFonts w:eastAsia="SimSun"/>
          <w:lang w:val="pl-PL" w:eastAsia="zh-CN"/>
        </w:rPr>
        <w:tab/>
      </w:r>
      <w:r w:rsidR="004C07B2" w:rsidRPr="00851725">
        <w:rPr>
          <w:rFonts w:eastAsia="SimSun"/>
          <w:lang w:val="pl-PL" w:eastAsia="zh-CN"/>
        </w:rPr>
        <w:t>W przypadku gdy ściganie za przestępstwa wobec dziennikarzy i innych osób działających w mediach nie zostaje wszczęte lub jest na różne sposoby utrudniane, powoduje to niedopuszczalne opóźnienia w wymierzaniu sprawiedliwości skutkujące bezkarnością sprawców. Dlatego</w:t>
      </w:r>
      <w:r w:rsidR="00A05FDA">
        <w:rPr>
          <w:rFonts w:eastAsia="SimSun"/>
          <w:lang w:val="pl-PL" w:eastAsia="zh-CN"/>
        </w:rPr>
        <w:t>,</w:t>
      </w:r>
      <w:r w:rsidR="004C07B2" w:rsidRPr="00851725">
        <w:rPr>
          <w:rFonts w:eastAsia="SimSun"/>
          <w:lang w:val="pl-PL" w:eastAsia="zh-CN"/>
        </w:rPr>
        <w:t xml:space="preserve"> jeśli oskarżonym o przestępstwa związane z</w:t>
      </w:r>
      <w:r w:rsidR="001F79AD">
        <w:rPr>
          <w:rFonts w:eastAsia="SimSun"/>
          <w:lang w:val="pl-PL" w:eastAsia="zh-CN"/>
        </w:rPr>
        <w:t>e</w:t>
      </w:r>
      <w:r w:rsidR="004C07B2" w:rsidRPr="00851725">
        <w:rPr>
          <w:rFonts w:eastAsia="SimSun"/>
          <w:lang w:val="pl-PL" w:eastAsia="zh-CN"/>
        </w:rPr>
        <w:t xml:space="preserve"> znęcaniem się jest urzędnik państwowy, niezwy</w:t>
      </w:r>
      <w:r w:rsidR="00D72B35" w:rsidRPr="00851725">
        <w:rPr>
          <w:rFonts w:eastAsia="SimSun"/>
          <w:lang w:val="pl-PL" w:eastAsia="zh-CN"/>
        </w:rPr>
        <w:t>kle ważne jest, aby</w:t>
      </w:r>
      <w:r w:rsidR="001F79AD">
        <w:rPr>
          <w:rFonts w:eastAsia="SimSun"/>
          <w:lang w:val="pl-PL" w:eastAsia="zh-CN"/>
        </w:rPr>
        <w:t xml:space="preserve"> nie wystąpiło przedawnienie powodujące zakończenie </w:t>
      </w:r>
      <w:r w:rsidR="00D72B35" w:rsidRPr="00851725">
        <w:rPr>
          <w:rFonts w:eastAsia="SimSun"/>
          <w:lang w:val="pl-PL" w:eastAsia="zh-CN"/>
        </w:rPr>
        <w:t>postępowania</w:t>
      </w:r>
      <w:r w:rsidR="004C07B2" w:rsidRPr="00851725">
        <w:rPr>
          <w:rFonts w:eastAsia="SimSun"/>
          <w:lang w:val="pl-PL" w:eastAsia="zh-CN"/>
        </w:rPr>
        <w:t xml:space="preserve"> karne</w:t>
      </w:r>
      <w:r w:rsidR="001F79AD">
        <w:rPr>
          <w:rFonts w:eastAsia="SimSun"/>
          <w:lang w:val="pl-PL" w:eastAsia="zh-CN"/>
        </w:rPr>
        <w:t>go i uniemożliwiające</w:t>
      </w:r>
      <w:r w:rsidR="004C07B2" w:rsidRPr="00851725">
        <w:rPr>
          <w:rFonts w:eastAsia="SimSun"/>
          <w:lang w:val="pl-PL" w:eastAsia="zh-CN"/>
        </w:rPr>
        <w:t xml:space="preserve"> wydanie wyroku</w:t>
      </w:r>
      <w:r w:rsidR="00D72B35" w:rsidRPr="00851725">
        <w:rPr>
          <w:rFonts w:eastAsia="SimSun"/>
          <w:lang w:val="pl-PL" w:eastAsia="zh-CN"/>
        </w:rPr>
        <w:t>. Aby utrzymać zaufanie opinii publicznej do systemu sprawiedliwości</w:t>
      </w:r>
      <w:r w:rsidR="00A05FDA">
        <w:rPr>
          <w:rFonts w:eastAsia="SimSun"/>
          <w:lang w:val="pl-PL" w:eastAsia="zh-CN"/>
        </w:rPr>
        <w:t>,</w:t>
      </w:r>
      <w:r w:rsidR="00D72B35" w:rsidRPr="00851725">
        <w:rPr>
          <w:rFonts w:eastAsia="SimSun"/>
          <w:lang w:val="pl-PL" w:eastAsia="zh-CN"/>
        </w:rPr>
        <w:t xml:space="preserve"> nie wolno planować ani udzielać amnestii ani ułaskawienia bez przekonujących powodów. </w:t>
      </w:r>
      <w:r w:rsidR="00C7605E" w:rsidRPr="00851725">
        <w:rPr>
          <w:rFonts w:eastAsia="SimSun"/>
          <w:lang w:val="pl-PL" w:eastAsia="zh-CN"/>
        </w:rPr>
        <w:t>Przepisy prawa powinny przewidywać dodatkowe lub bardziej dotkliwe kary nakładane na urzędników publicznych, którzy działają, przez zaniedbanie, współudział lub celowo, żeby uniemożliwić lub utrudnić dochodzenie, ściganie lub karanie osób odpowiedzialnych za przestępstwa przeciw</w:t>
      </w:r>
      <w:r w:rsidR="009C310A">
        <w:rPr>
          <w:rFonts w:eastAsia="SimSun"/>
          <w:lang w:val="pl-PL" w:eastAsia="zh-CN"/>
        </w:rPr>
        <w:t>ko</w:t>
      </w:r>
      <w:r w:rsidR="00C7605E" w:rsidRPr="00851725">
        <w:rPr>
          <w:rFonts w:eastAsia="SimSun"/>
          <w:lang w:val="pl-PL" w:eastAsia="zh-CN"/>
        </w:rPr>
        <w:t xml:space="preserve"> dziennikarzom lub innym osobom prowadzącym działalność medialną w związku z ich pracą lub udział</w:t>
      </w:r>
      <w:r w:rsidR="009C310A">
        <w:rPr>
          <w:rFonts w:eastAsia="SimSun"/>
          <w:lang w:val="pl-PL" w:eastAsia="zh-CN"/>
        </w:rPr>
        <w:t>em</w:t>
      </w:r>
      <w:r w:rsidR="00C7605E" w:rsidRPr="00851725">
        <w:rPr>
          <w:rFonts w:eastAsia="SimSun"/>
          <w:lang w:val="pl-PL" w:eastAsia="zh-CN"/>
        </w:rPr>
        <w:t xml:space="preserve"> w debacie publicznej.</w:t>
      </w:r>
    </w:p>
    <w:p w:rsidR="00C7605E" w:rsidRPr="00851725" w:rsidRDefault="002045B9" w:rsidP="002045B9">
      <w:pPr>
        <w:tabs>
          <w:tab w:val="left" w:pos="709"/>
        </w:tabs>
        <w:rPr>
          <w:rFonts w:eastAsia="SimSun"/>
          <w:lang w:val="pl-PL" w:eastAsia="zh-CN"/>
        </w:rPr>
      </w:pPr>
      <w:r w:rsidRPr="00851725">
        <w:rPr>
          <w:rFonts w:eastAsia="SimSun"/>
          <w:lang w:val="pl-PL" w:eastAsia="zh-CN"/>
        </w:rPr>
        <w:t>25.</w:t>
      </w:r>
      <w:r w:rsidRPr="00851725">
        <w:rPr>
          <w:rFonts w:eastAsia="SimSun"/>
          <w:lang w:val="pl-PL" w:eastAsia="zh-CN"/>
        </w:rPr>
        <w:tab/>
      </w:r>
      <w:r w:rsidR="00C7605E" w:rsidRPr="00851725">
        <w:rPr>
          <w:rFonts w:eastAsia="SimSun"/>
          <w:lang w:val="pl-PL" w:eastAsia="zh-CN"/>
        </w:rPr>
        <w:t xml:space="preserve">Gdy </w:t>
      </w:r>
      <w:r w:rsidR="00A05FDA">
        <w:rPr>
          <w:rFonts w:eastAsia="SimSun"/>
          <w:lang w:val="pl-PL" w:eastAsia="zh-CN"/>
        </w:rPr>
        <w:t>śledztwa</w:t>
      </w:r>
      <w:r w:rsidR="00C7605E" w:rsidRPr="00851725">
        <w:rPr>
          <w:rFonts w:eastAsia="SimSun"/>
          <w:lang w:val="pl-PL" w:eastAsia="zh-CN"/>
        </w:rPr>
        <w:t xml:space="preserve"> i proces ścigania nie doprowadza</w:t>
      </w:r>
      <w:r w:rsidR="009C310A">
        <w:rPr>
          <w:rFonts w:eastAsia="SimSun"/>
          <w:lang w:val="pl-PL" w:eastAsia="zh-CN"/>
        </w:rPr>
        <w:t>ją</w:t>
      </w:r>
      <w:r w:rsidR="00C7605E" w:rsidRPr="00851725">
        <w:rPr>
          <w:rFonts w:eastAsia="SimSun"/>
          <w:lang w:val="pl-PL" w:eastAsia="zh-CN"/>
        </w:rPr>
        <w:t xml:space="preserve"> do postawienia przed sądem sprawców zabójstw lub innych poważnych przestępstw popełnianych wobec dziennikarzy lub innych osób zaangażowanych w działalność medialną, państwa członkowskie mogą rozważyć przeprowadzenie specjalnych dochodzeń sądowych lub pozasądowych dotyczących określonych przypadków lub powołanie niezależnych wyspecjalizowanych organów do bieżącego prowadzenia takich </w:t>
      </w:r>
      <w:r w:rsidR="009E3F23">
        <w:rPr>
          <w:rFonts w:eastAsia="SimSun"/>
          <w:lang w:val="pl-PL" w:eastAsia="zh-CN"/>
        </w:rPr>
        <w:t>dochodzeń</w:t>
      </w:r>
      <w:r w:rsidR="00C7605E" w:rsidRPr="00851725">
        <w:rPr>
          <w:rFonts w:eastAsia="SimSun"/>
          <w:lang w:val="pl-PL" w:eastAsia="zh-CN"/>
        </w:rPr>
        <w:t>. W przypadku powołania takich instytucji można przypisać im specjalne uprawnienia lub zapewnić udział lub przewodniczenie ze strony cieszących się szacunkiem znanych przedstawicieli mediów lub społeczeństwa obywatelskiego. Celem ich d</w:t>
      </w:r>
      <w:r w:rsidR="00347A4C">
        <w:rPr>
          <w:rFonts w:eastAsia="SimSun"/>
          <w:lang w:val="pl-PL" w:eastAsia="zh-CN"/>
        </w:rPr>
        <w:t>ziałania powinno być przyspiesze</w:t>
      </w:r>
      <w:r w:rsidR="00C7605E" w:rsidRPr="00851725">
        <w:rPr>
          <w:rFonts w:eastAsia="SimSun"/>
          <w:lang w:val="pl-PL" w:eastAsia="zh-CN"/>
        </w:rPr>
        <w:t>nie procesu odkrywania faktów, bez uszczerbku dla odpowiedzialności organów dochodzeniowych i prokuratorskich państwa za doprowadzenie sprawców przed wymiar sprawiedliwości.</w:t>
      </w:r>
    </w:p>
    <w:p w:rsidR="00C7605E" w:rsidRPr="00851725" w:rsidRDefault="002045B9" w:rsidP="002045B9">
      <w:pPr>
        <w:tabs>
          <w:tab w:val="left" w:pos="709"/>
        </w:tabs>
        <w:rPr>
          <w:rFonts w:eastAsia="SimSun"/>
          <w:lang w:val="pl-PL" w:eastAsia="zh-CN"/>
        </w:rPr>
      </w:pPr>
      <w:r w:rsidRPr="00851725">
        <w:rPr>
          <w:rFonts w:eastAsia="SimSun"/>
          <w:lang w:val="pl-PL" w:eastAsia="zh-CN"/>
        </w:rPr>
        <w:lastRenderedPageBreak/>
        <w:t>26.</w:t>
      </w:r>
      <w:r w:rsidRPr="00851725">
        <w:rPr>
          <w:rFonts w:eastAsia="SimSun"/>
          <w:lang w:val="pl-PL" w:eastAsia="zh-CN"/>
        </w:rPr>
        <w:tab/>
      </w:r>
      <w:r w:rsidR="00C7605E" w:rsidRPr="00851725">
        <w:rPr>
          <w:rFonts w:eastAsia="SimSun"/>
          <w:lang w:val="pl-PL" w:eastAsia="zh-CN"/>
        </w:rPr>
        <w:t>Państwa członkowskie powinny wzmocnić współpracę i wymianę informacji, opinii eksperckich i</w:t>
      </w:r>
      <w:r w:rsidR="009C310A">
        <w:rPr>
          <w:rFonts w:eastAsia="SimSun"/>
          <w:lang w:val="pl-PL" w:eastAsia="zh-CN"/>
        </w:rPr>
        <w:t xml:space="preserve"> dobrych</w:t>
      </w:r>
      <w:r w:rsidR="00C7605E" w:rsidRPr="00851725">
        <w:rPr>
          <w:rFonts w:eastAsia="SimSun"/>
          <w:lang w:val="pl-PL" w:eastAsia="zh-CN"/>
        </w:rPr>
        <w:t xml:space="preserve"> praktyk z innymi państwami zawsze, gdy przestępstwa przeciwko </w:t>
      </w:r>
      <w:r w:rsidR="009C4FD1" w:rsidRPr="00851725">
        <w:rPr>
          <w:rFonts w:eastAsia="SimSun"/>
          <w:lang w:val="pl-PL" w:eastAsia="zh-CN"/>
        </w:rPr>
        <w:t xml:space="preserve">dziennikarzom i innym osobom aktywnym w mediach zawierają wymiar </w:t>
      </w:r>
      <w:r w:rsidR="009C310A">
        <w:rPr>
          <w:rFonts w:eastAsia="SimSun"/>
          <w:lang w:val="pl-PL" w:eastAsia="zh-CN"/>
        </w:rPr>
        <w:t>międzynarodowy</w:t>
      </w:r>
      <w:r w:rsidR="009C4FD1" w:rsidRPr="00851725">
        <w:rPr>
          <w:rFonts w:eastAsia="SimSun"/>
          <w:lang w:val="pl-PL" w:eastAsia="zh-CN"/>
        </w:rPr>
        <w:t xml:space="preserve"> lub wirtualny, z zastrzeżeniem ochrony praw do zachowania prywatności, ochrony danych i domniemania niewinności.</w:t>
      </w:r>
    </w:p>
    <w:p w:rsidR="009C4FD1" w:rsidRPr="00851725" w:rsidRDefault="002045B9" w:rsidP="002045B9">
      <w:pPr>
        <w:tabs>
          <w:tab w:val="left" w:pos="709"/>
        </w:tabs>
        <w:rPr>
          <w:rFonts w:eastAsia="SimSun"/>
          <w:lang w:val="pl-PL" w:eastAsia="zh-CN"/>
        </w:rPr>
      </w:pPr>
      <w:r w:rsidRPr="00851725">
        <w:rPr>
          <w:rFonts w:eastAsia="SimSun"/>
          <w:lang w:val="pl-PL" w:eastAsia="zh-CN"/>
        </w:rPr>
        <w:t>27.</w:t>
      </w:r>
      <w:r w:rsidRPr="00851725">
        <w:rPr>
          <w:rFonts w:eastAsia="SimSun"/>
          <w:lang w:val="pl-PL" w:eastAsia="zh-CN"/>
        </w:rPr>
        <w:tab/>
      </w:r>
      <w:r w:rsidR="008A5DA5" w:rsidRPr="00851725">
        <w:rPr>
          <w:rFonts w:eastAsia="SimSun"/>
          <w:lang w:val="pl-PL" w:eastAsia="zh-CN"/>
        </w:rPr>
        <w:t xml:space="preserve">Państwa członkowskie powinny aktywnie i energicznie realizować priorytetowe działania mające na </w:t>
      </w:r>
      <w:r w:rsidR="00492BC3">
        <w:rPr>
          <w:rFonts w:eastAsia="SimSun"/>
          <w:lang w:val="pl-PL" w:eastAsia="zh-CN"/>
        </w:rPr>
        <w:t xml:space="preserve">celu ochronę dziennikarzy i innych osób </w:t>
      </w:r>
      <w:r w:rsidR="00347A4C">
        <w:rPr>
          <w:rFonts w:eastAsia="SimSun"/>
          <w:lang w:val="pl-PL" w:eastAsia="zh-CN"/>
        </w:rPr>
        <w:t>zaangażowanych w działalność medialną</w:t>
      </w:r>
      <w:r w:rsidR="008A5DA5" w:rsidRPr="00851725">
        <w:rPr>
          <w:rFonts w:eastAsia="SimSun"/>
          <w:lang w:val="pl-PL" w:eastAsia="zh-CN"/>
        </w:rPr>
        <w:t xml:space="preserve"> oraz zwalczanie bezkarności sprawców na wszystkich właściwych forach regionalnych i międzynarodowych oraz ogólniej w ramach swojej polityki zagranicznej i relacji z innymi państwami. Działania takie mogą obejmować pełną współpracę z inicjatywami mającymi na celu gromadzenie informacji, podnoszenie świadomości i </w:t>
      </w:r>
      <w:r w:rsidR="009214A6">
        <w:rPr>
          <w:rFonts w:eastAsia="SimSun"/>
          <w:lang w:val="pl-PL" w:eastAsia="zh-CN"/>
        </w:rPr>
        <w:t xml:space="preserve">z </w:t>
      </w:r>
      <w:r w:rsidR="008A5DA5" w:rsidRPr="00851725">
        <w:rPr>
          <w:rFonts w:eastAsia="SimSun"/>
          <w:lang w:val="pl-PL" w:eastAsia="zh-CN"/>
        </w:rPr>
        <w:t>innymi programami koordynowanymi przez międzynarodowe i regionalne organizacje międzyrządowe w zakresie bezpieczeństwa dziennikarzy i innych osób zaangażowanych w działalność medialną, w</w:t>
      </w:r>
      <w:r w:rsidR="009D1EB2" w:rsidRPr="00851725">
        <w:rPr>
          <w:rFonts w:eastAsia="SimSun"/>
          <w:lang w:val="pl-PL" w:eastAsia="zh-CN"/>
        </w:rPr>
        <w:t xml:space="preserve"> szczególności w ramach tworzenia </w:t>
      </w:r>
      <w:r w:rsidR="00347A4C">
        <w:rPr>
          <w:rFonts w:eastAsia="SimSun"/>
          <w:lang w:val="pl-PL" w:eastAsia="zh-CN"/>
        </w:rPr>
        <w:t xml:space="preserve">regularnych </w:t>
      </w:r>
      <w:r w:rsidR="009D1EB2" w:rsidRPr="00851725">
        <w:rPr>
          <w:rFonts w:eastAsia="SimSun"/>
          <w:lang w:val="pl-PL" w:eastAsia="zh-CN"/>
        </w:rPr>
        <w:t xml:space="preserve">sprawozdań, np. dla Komitetu Praw Człowieka ONZ, w ramach Powszechnego Przeglądu Okresowego Rady Praw Człowieka ONZ i Dyrektora Generalnego UNESCO, na temat działań podejmowanych w celu zapobiegania bezkarności sprawców i </w:t>
      </w:r>
      <w:r w:rsidR="00347A4C">
        <w:rPr>
          <w:rFonts w:eastAsia="SimSun"/>
          <w:lang w:val="pl-PL" w:eastAsia="zh-CN"/>
        </w:rPr>
        <w:t>postępów</w:t>
      </w:r>
      <w:r w:rsidR="009D1EB2" w:rsidRPr="00851725">
        <w:rPr>
          <w:rFonts w:eastAsia="SimSun"/>
          <w:lang w:val="pl-PL" w:eastAsia="zh-CN"/>
        </w:rPr>
        <w:t xml:space="preserve"> spraw sądowych w sprawie każdego zabójstwa potępionego przez UNESCO. Dzi</w:t>
      </w:r>
      <w:r w:rsidR="00347A4C">
        <w:rPr>
          <w:rFonts w:eastAsia="SimSun"/>
          <w:lang w:val="pl-PL" w:eastAsia="zh-CN"/>
        </w:rPr>
        <w:t xml:space="preserve">ałania takie obejmują także zadania </w:t>
      </w:r>
      <w:r w:rsidR="009D1EB2" w:rsidRPr="00851725">
        <w:rPr>
          <w:rFonts w:eastAsia="SimSun"/>
          <w:lang w:val="pl-PL" w:eastAsia="zh-CN"/>
        </w:rPr>
        <w:t>i odpowiedzialność państw członkowskich w</w:t>
      </w:r>
      <w:r w:rsidR="00A059FE">
        <w:rPr>
          <w:rFonts w:eastAsia="SimSun"/>
          <w:lang w:val="pl-PL" w:eastAsia="zh-CN"/>
        </w:rPr>
        <w:t xml:space="preserve"> zakresie nadzoru</w:t>
      </w:r>
      <w:r w:rsidR="009D1EB2" w:rsidRPr="00851725">
        <w:rPr>
          <w:rFonts w:eastAsia="SimSun"/>
          <w:lang w:val="pl-PL" w:eastAsia="zh-CN"/>
        </w:rPr>
        <w:t xml:space="preserve"> nad wykonaniem wyroków Europejskiego Trybunału Praw Człowieka przez Komite</w:t>
      </w:r>
      <w:r w:rsidR="009214A6">
        <w:rPr>
          <w:rFonts w:eastAsia="SimSun"/>
          <w:lang w:val="pl-PL" w:eastAsia="zh-CN"/>
        </w:rPr>
        <w:t>t Ministrów Rady Europy. Powinny</w:t>
      </w:r>
      <w:r w:rsidR="009D1EB2" w:rsidRPr="00851725">
        <w:rPr>
          <w:rFonts w:eastAsia="SimSun"/>
          <w:lang w:val="pl-PL" w:eastAsia="zh-CN"/>
        </w:rPr>
        <w:t xml:space="preserve"> także obejmować przekazywanie bezzwłocznych i pełnych odpowiedzi na zapytania o udzielenie informacji ze strony Komisarza Praw Człowieka Rady Europy i Przedstawiciela OBWE ds. Wolności Mediów.</w:t>
      </w:r>
    </w:p>
    <w:p w:rsidR="009D1EB2" w:rsidRPr="00851725" w:rsidRDefault="009D1EB2" w:rsidP="002045B9">
      <w:pPr>
        <w:tabs>
          <w:tab w:val="left" w:pos="709"/>
        </w:tabs>
        <w:rPr>
          <w:rFonts w:eastAsia="SimSun"/>
          <w:b/>
          <w:i/>
          <w:lang w:val="pl-PL" w:eastAsia="zh-CN"/>
        </w:rPr>
      </w:pPr>
      <w:r w:rsidRPr="00851725">
        <w:rPr>
          <w:rFonts w:eastAsia="SimSun"/>
          <w:b/>
          <w:i/>
          <w:lang w:val="pl-PL" w:eastAsia="zh-CN"/>
        </w:rPr>
        <w:t>Promowanie roli informacji, edukacji i podnoszenie świadomości</w:t>
      </w:r>
    </w:p>
    <w:p w:rsidR="006C7ED5" w:rsidRPr="00851725" w:rsidRDefault="002045B9" w:rsidP="002045B9">
      <w:pPr>
        <w:tabs>
          <w:tab w:val="left" w:pos="709"/>
        </w:tabs>
        <w:rPr>
          <w:rFonts w:eastAsia="Calibri"/>
          <w:lang w:val="pl-PL"/>
        </w:rPr>
      </w:pPr>
      <w:r w:rsidRPr="00851725">
        <w:rPr>
          <w:rFonts w:eastAsia="SimSun"/>
          <w:lang w:val="pl-PL" w:eastAsia="zh-CN"/>
        </w:rPr>
        <w:t>28.</w:t>
      </w:r>
      <w:r w:rsidRPr="00851725">
        <w:rPr>
          <w:rFonts w:eastAsia="SimSun"/>
          <w:lang w:val="pl-PL" w:eastAsia="zh-CN"/>
        </w:rPr>
        <w:tab/>
      </w:r>
      <w:r w:rsidR="006C7ED5" w:rsidRPr="00851725">
        <w:rPr>
          <w:rFonts w:eastAsia="SimSun"/>
          <w:lang w:val="pl-PL" w:eastAsia="zh-CN"/>
        </w:rPr>
        <w:t xml:space="preserve">Państwa członkowskie powinny promować tłumaczenie (na języki narodowe i języki mniejszości) oraz jak najszersze rozpowszechnienie niniejszego zalecenia, a także </w:t>
      </w:r>
      <w:r w:rsidR="00A06847">
        <w:rPr>
          <w:rFonts w:eastAsia="SimSun"/>
          <w:lang w:val="pl-PL" w:eastAsia="zh-CN"/>
        </w:rPr>
        <w:t>upowszechnianie wiedzy o</w:t>
      </w:r>
      <w:r w:rsidR="006C7ED5" w:rsidRPr="00851725">
        <w:rPr>
          <w:rFonts w:eastAsia="SimSun"/>
          <w:lang w:val="pl-PL" w:eastAsia="zh-CN"/>
        </w:rPr>
        <w:t xml:space="preserve"> jego treści w różnych materiałach przeznaczonych dla opinii publicznej. Strategie informacyjne i podnoszenia świadomości powinny obejmować określone kampanie mające na celu wykorzystanie możliwości promocyjnych wiążących się z kalendarzem międzynarodowych dni okolicznościowych, takich jak </w:t>
      </w:r>
      <w:r w:rsidR="006C7ED5" w:rsidRPr="00851725">
        <w:rPr>
          <w:rFonts w:eastAsia="Calibri"/>
          <w:lang w:val="pl-PL"/>
        </w:rPr>
        <w:t xml:space="preserve">Światowy Dzień Wolności Prasy (3 maja), Międzynarodowy Dzień Zakończenia Bezkarności Popełniania Zbrodni Wobec Dziennikarzy (2 listopada) oraz </w:t>
      </w:r>
      <w:hyperlink r:id="rId9" w:history="1">
        <w:r w:rsidR="006C7ED5" w:rsidRPr="00851725">
          <w:rPr>
            <w:rFonts w:eastAsia="Calibri"/>
            <w:lang w:val="pl-PL"/>
          </w:rPr>
          <w:t xml:space="preserve">Międzynarodowy Dzień Prawa do Informacji </w:t>
        </w:r>
      </w:hyperlink>
      <w:r w:rsidR="006C7ED5" w:rsidRPr="00851725">
        <w:rPr>
          <w:rFonts w:eastAsia="Calibri"/>
          <w:lang w:val="pl-PL"/>
        </w:rPr>
        <w:t>(28 września). Państwa członkowskie powinny w pełni współpracować w ramach zbierania informacji, podnoszenia świadomości oraz innych inicjatyw koordynowanych przez międzynarodowe i regionalne organizacje międzyrządowe w zakresie bezpieczeństwa dziennikarzy i innych osób zaangażowanych w działalność medialną. W takich działaniach państwa członkowskie powinny aktywnie podkreślać problematykę związaną z płcią i inne kwestie odnoszące się do niedopuszczalnych przyczyn dyskryminacji.</w:t>
      </w:r>
    </w:p>
    <w:p w:rsidR="006C7ED5" w:rsidRPr="00851725" w:rsidRDefault="002045B9" w:rsidP="002045B9">
      <w:pPr>
        <w:tabs>
          <w:tab w:val="left" w:pos="709"/>
        </w:tabs>
        <w:rPr>
          <w:rFonts w:eastAsia="SimSun"/>
          <w:lang w:val="pl-PL" w:eastAsia="zh-CN"/>
        </w:rPr>
      </w:pPr>
      <w:r w:rsidRPr="00851725">
        <w:rPr>
          <w:rFonts w:eastAsia="SimSun"/>
          <w:lang w:val="pl-PL" w:eastAsia="zh-CN"/>
        </w:rPr>
        <w:t>29.</w:t>
      </w:r>
      <w:r w:rsidRPr="00851725">
        <w:rPr>
          <w:rFonts w:eastAsia="SimSun"/>
          <w:lang w:val="pl-PL" w:eastAsia="zh-CN"/>
        </w:rPr>
        <w:tab/>
      </w:r>
      <w:r w:rsidR="006C7ED5" w:rsidRPr="00851725">
        <w:rPr>
          <w:rFonts w:eastAsia="SimSun"/>
          <w:lang w:val="pl-PL" w:eastAsia="zh-CN"/>
        </w:rPr>
        <w:t>Państwa członkowskie powinny zachęcać odpowiednie organy do nadania niniejszemu zaleceniu odpowiedniej wagi oraz włączenia materiałów edukacyjnych dotyczących wszystkich kwestii będących jego przedmiotem, w tym kwestii związanych z polityką równości płci, do programów nauczania w szkołach dziennikarskich</w:t>
      </w:r>
      <w:r w:rsidR="00347A4C">
        <w:rPr>
          <w:rFonts w:eastAsia="SimSun"/>
          <w:lang w:val="pl-PL" w:eastAsia="zh-CN"/>
        </w:rPr>
        <w:t>,</w:t>
      </w:r>
      <w:r w:rsidR="006C7ED5" w:rsidRPr="00851725">
        <w:rPr>
          <w:rFonts w:eastAsia="SimSun"/>
          <w:lang w:val="pl-PL" w:eastAsia="zh-CN"/>
        </w:rPr>
        <w:t xml:space="preserve"> jako stałego elementu edukacji dziennikarzy</w:t>
      </w:r>
      <w:r w:rsidR="00347A4C">
        <w:rPr>
          <w:rFonts w:eastAsia="SimSun"/>
          <w:lang w:val="pl-PL" w:eastAsia="zh-CN"/>
        </w:rPr>
        <w:t>,</w:t>
      </w:r>
      <w:r w:rsidR="006C7ED5" w:rsidRPr="00851725">
        <w:rPr>
          <w:rFonts w:eastAsia="SimSun"/>
          <w:lang w:val="pl-PL" w:eastAsia="zh-CN"/>
        </w:rPr>
        <w:t xml:space="preserve"> oraz do inicjatyw edukacji medialnej i informacyjnej.</w:t>
      </w:r>
    </w:p>
    <w:p w:rsidR="006C7ED5" w:rsidRPr="00851725" w:rsidRDefault="002045B9" w:rsidP="002045B9">
      <w:pPr>
        <w:tabs>
          <w:tab w:val="left" w:pos="709"/>
        </w:tabs>
        <w:rPr>
          <w:rFonts w:eastAsia="SimSun"/>
          <w:lang w:val="pl-PL" w:eastAsia="zh-CN"/>
        </w:rPr>
      </w:pPr>
      <w:r w:rsidRPr="00851725">
        <w:rPr>
          <w:rFonts w:eastAsia="SimSun"/>
          <w:lang w:val="pl-PL" w:eastAsia="zh-CN"/>
        </w:rPr>
        <w:t>30.</w:t>
      </w:r>
      <w:r w:rsidRPr="00851725">
        <w:rPr>
          <w:rFonts w:eastAsia="SimSun"/>
          <w:lang w:val="pl-PL" w:eastAsia="zh-CN"/>
        </w:rPr>
        <w:tab/>
      </w:r>
      <w:r w:rsidR="00921A07" w:rsidRPr="00851725">
        <w:rPr>
          <w:rFonts w:eastAsia="SimSun"/>
          <w:lang w:val="pl-PL" w:eastAsia="zh-CN"/>
        </w:rPr>
        <w:t xml:space="preserve">Państwa członkowskie powinny rozwijać współpracę ze społeczeństwem obywatelskim i mediami w celu promowania dobrych praktyk w zakresie ochrony dziennikarzy i innych osób angażujących się w działalność medialną oraz zwalczania bezkarności sprawców. Działania takie powinny obejmować </w:t>
      </w:r>
      <w:r w:rsidR="009B268E" w:rsidRPr="00851725">
        <w:rPr>
          <w:rFonts w:eastAsia="SimSun"/>
          <w:lang w:val="pl-PL" w:eastAsia="zh-CN"/>
        </w:rPr>
        <w:t xml:space="preserve">wprowadzenie w życie zasad transparentności rządu i wymiaru sprawiedliwości oraz przyjmowanie konstruktywnej i otwartej postawy w stosunku </w:t>
      </w:r>
      <w:r w:rsidR="009B268E" w:rsidRPr="00851725">
        <w:rPr>
          <w:rFonts w:eastAsia="SimSun"/>
          <w:lang w:val="pl-PL" w:eastAsia="zh-CN"/>
        </w:rPr>
        <w:lastRenderedPageBreak/>
        <w:t>do społeczeństwa obywatelskiego i mediów relacjonujących przypadki stosowania gróźb i przemocy wobec dziennikarzy i innych osób uczestniczących w działalności medialne</w:t>
      </w:r>
      <w:r w:rsidR="005E3835">
        <w:rPr>
          <w:rFonts w:eastAsia="SimSun"/>
          <w:lang w:val="pl-PL" w:eastAsia="zh-CN"/>
        </w:rPr>
        <w:t>j</w:t>
      </w:r>
      <w:r w:rsidR="009B268E" w:rsidRPr="00851725">
        <w:rPr>
          <w:rFonts w:eastAsia="SimSun"/>
          <w:lang w:val="pl-PL" w:eastAsia="zh-CN"/>
        </w:rPr>
        <w:t xml:space="preserve">, z </w:t>
      </w:r>
      <w:r w:rsidR="00347A4C">
        <w:rPr>
          <w:rFonts w:eastAsia="SimSun"/>
          <w:lang w:val="pl-PL" w:eastAsia="zh-CN"/>
        </w:rPr>
        <w:t xml:space="preserve">odpowiednim </w:t>
      </w:r>
      <w:r w:rsidR="009B268E" w:rsidRPr="00851725">
        <w:rPr>
          <w:rFonts w:eastAsia="SimSun"/>
          <w:lang w:val="pl-PL" w:eastAsia="zh-CN"/>
        </w:rPr>
        <w:t xml:space="preserve">podkreśleniem problematyki równości płci i innych kwestii. Działania takie powinny obejmować również aktywną współpracę w zakresie upowszechniania informacji i edukacji na temat istotnych kwestii </w:t>
      </w:r>
      <w:r w:rsidR="005E3835">
        <w:rPr>
          <w:rFonts w:eastAsia="SimSun"/>
          <w:lang w:val="pl-PL" w:eastAsia="zh-CN"/>
        </w:rPr>
        <w:t xml:space="preserve">i </w:t>
      </w:r>
      <w:r w:rsidR="009B268E" w:rsidRPr="00851725">
        <w:rPr>
          <w:rFonts w:eastAsia="SimSun"/>
          <w:lang w:val="pl-PL" w:eastAsia="zh-CN"/>
        </w:rPr>
        <w:t>standardów.</w:t>
      </w:r>
    </w:p>
    <w:p w:rsidR="002045B9" w:rsidRPr="00851725" w:rsidRDefault="009B268E" w:rsidP="002045B9">
      <w:pPr>
        <w:tabs>
          <w:tab w:val="left" w:pos="709"/>
        </w:tabs>
        <w:rPr>
          <w:b/>
          <w:lang w:val="pl-PL"/>
        </w:rPr>
      </w:pPr>
      <w:r w:rsidRPr="00851725">
        <w:rPr>
          <w:b/>
          <w:lang w:val="pl-PL"/>
        </w:rPr>
        <w:t>Załącznik</w:t>
      </w:r>
    </w:p>
    <w:p w:rsidR="002045B9" w:rsidRPr="00851725" w:rsidRDefault="009B268E" w:rsidP="002045B9">
      <w:pPr>
        <w:rPr>
          <w:lang w:val="pl-PL"/>
        </w:rPr>
      </w:pPr>
      <w:r w:rsidRPr="00851725">
        <w:rPr>
          <w:lang w:val="pl-PL"/>
        </w:rPr>
        <w:t>ZASADY</w:t>
      </w:r>
    </w:p>
    <w:p w:rsidR="009B268E" w:rsidRPr="00851725" w:rsidRDefault="009B268E" w:rsidP="002045B9">
      <w:pPr>
        <w:tabs>
          <w:tab w:val="left" w:pos="709"/>
        </w:tabs>
        <w:rPr>
          <w:lang w:val="pl-PL"/>
        </w:rPr>
      </w:pPr>
      <w:r w:rsidRPr="00851725">
        <w:rPr>
          <w:lang w:val="pl-PL"/>
        </w:rPr>
        <w:t xml:space="preserve">Powyższe zalecenie zostało opracowane na postawie obszernego katalogu zasad zawartych w Europejskiej </w:t>
      </w:r>
      <w:r w:rsidR="00DB08F5" w:rsidRPr="00851725">
        <w:rPr>
          <w:lang w:val="pl-PL"/>
        </w:rPr>
        <w:t>k</w:t>
      </w:r>
      <w:r w:rsidRPr="00851725">
        <w:rPr>
          <w:lang w:val="pl-PL"/>
        </w:rPr>
        <w:t xml:space="preserve">onwencji </w:t>
      </w:r>
      <w:r w:rsidR="00A06847">
        <w:rPr>
          <w:lang w:val="pl-PL"/>
        </w:rPr>
        <w:t xml:space="preserve">o ochronie </w:t>
      </w:r>
      <w:r w:rsidR="00DB08F5" w:rsidRPr="00851725">
        <w:rPr>
          <w:lang w:val="pl-PL"/>
        </w:rPr>
        <w:t>p</w:t>
      </w:r>
      <w:r w:rsidRPr="00851725">
        <w:rPr>
          <w:lang w:val="pl-PL"/>
        </w:rPr>
        <w:t xml:space="preserve">raw </w:t>
      </w:r>
      <w:r w:rsidR="00DB08F5" w:rsidRPr="00851725">
        <w:rPr>
          <w:lang w:val="pl-PL"/>
        </w:rPr>
        <w:t>c</w:t>
      </w:r>
      <w:r w:rsidRPr="00851725">
        <w:rPr>
          <w:lang w:val="pl-PL"/>
        </w:rPr>
        <w:t xml:space="preserve">złowieka i rozwijanych przez Europejski Trybunał Praw Człowieka. Istotne fragmenty zasad zostały szczegółowo opisane w poniższych punktach z podaniem odpowiedniego kontekstu. Zasady zostały </w:t>
      </w:r>
      <w:r w:rsidR="00457F60">
        <w:rPr>
          <w:lang w:val="pl-PL"/>
        </w:rPr>
        <w:t>ujęte</w:t>
      </w:r>
      <w:r w:rsidRPr="00851725">
        <w:rPr>
          <w:lang w:val="pl-PL"/>
        </w:rPr>
        <w:t xml:space="preserve"> w następujących kategoriach: wolność wyrażania poglądów, sprzyjające środowisko, bezpieczeństwo, ochrona i zabezpieczenia, udział w debacie publicznej i zastraszanie.</w:t>
      </w:r>
    </w:p>
    <w:p w:rsidR="002045B9" w:rsidRPr="00851725" w:rsidRDefault="009B268E" w:rsidP="002045B9">
      <w:pPr>
        <w:rPr>
          <w:b/>
          <w:i/>
          <w:lang w:val="pl-PL"/>
        </w:rPr>
      </w:pPr>
      <w:r w:rsidRPr="00851725">
        <w:rPr>
          <w:b/>
          <w:i/>
          <w:lang w:val="pl-PL"/>
        </w:rPr>
        <w:t>Wolność wyrażania poglądów</w:t>
      </w:r>
    </w:p>
    <w:p w:rsidR="009B268E" w:rsidRPr="00851725" w:rsidRDefault="002045B9" w:rsidP="002045B9">
      <w:pPr>
        <w:tabs>
          <w:tab w:val="left" w:pos="709"/>
        </w:tabs>
        <w:rPr>
          <w:lang w:val="pl-PL"/>
        </w:rPr>
      </w:pPr>
      <w:r w:rsidRPr="00851725">
        <w:rPr>
          <w:lang w:val="pl-PL"/>
        </w:rPr>
        <w:t>1.</w:t>
      </w:r>
      <w:r w:rsidRPr="00851725">
        <w:rPr>
          <w:lang w:val="pl-PL"/>
        </w:rPr>
        <w:tab/>
      </w:r>
      <w:r w:rsidR="009B268E" w:rsidRPr="00851725">
        <w:rPr>
          <w:lang w:val="pl-PL"/>
        </w:rPr>
        <w:t>Zgodni</w:t>
      </w:r>
      <w:r w:rsidR="00AF1ED6">
        <w:rPr>
          <w:lang w:val="pl-PL"/>
        </w:rPr>
        <w:t>e z artykułem 10 E</w:t>
      </w:r>
      <w:r w:rsidR="009B268E" w:rsidRPr="00851725">
        <w:rPr>
          <w:lang w:val="pl-PL"/>
        </w:rPr>
        <w:t xml:space="preserve">uropejskiej </w:t>
      </w:r>
      <w:r w:rsidR="00AF1ED6">
        <w:rPr>
          <w:lang w:val="pl-PL"/>
        </w:rPr>
        <w:t>k</w:t>
      </w:r>
      <w:r w:rsidR="009B268E" w:rsidRPr="00851725">
        <w:rPr>
          <w:lang w:val="pl-PL"/>
        </w:rPr>
        <w:t xml:space="preserve">onwencji o ochronie praw człowieka, artykułem 19 </w:t>
      </w:r>
      <w:r w:rsidR="00DB08F5" w:rsidRPr="00851725">
        <w:rPr>
          <w:lang w:val="pl-PL"/>
        </w:rPr>
        <w:t>Powszechnej d</w:t>
      </w:r>
      <w:r w:rsidR="009B268E" w:rsidRPr="00851725">
        <w:rPr>
          <w:lang w:val="pl-PL"/>
        </w:rPr>
        <w:t xml:space="preserve">eklaracji </w:t>
      </w:r>
      <w:r w:rsidR="00DB08F5" w:rsidRPr="00851725">
        <w:rPr>
          <w:lang w:val="pl-PL"/>
        </w:rPr>
        <w:t>p</w:t>
      </w:r>
      <w:r w:rsidR="009B268E" w:rsidRPr="00851725">
        <w:rPr>
          <w:lang w:val="pl-PL"/>
        </w:rPr>
        <w:t xml:space="preserve">raw </w:t>
      </w:r>
      <w:r w:rsidR="00DB08F5" w:rsidRPr="00851725">
        <w:rPr>
          <w:lang w:val="pl-PL"/>
        </w:rPr>
        <w:t>c</w:t>
      </w:r>
      <w:r w:rsidR="009B268E" w:rsidRPr="00851725">
        <w:rPr>
          <w:lang w:val="pl-PL"/>
        </w:rPr>
        <w:t xml:space="preserve">złowieka, artykułem 19 Międzynarodowego </w:t>
      </w:r>
      <w:r w:rsidR="00DB08F5" w:rsidRPr="00851725">
        <w:rPr>
          <w:lang w:val="pl-PL"/>
        </w:rPr>
        <w:t>p</w:t>
      </w:r>
      <w:r w:rsidR="009B268E" w:rsidRPr="00851725">
        <w:rPr>
          <w:lang w:val="pl-PL"/>
        </w:rPr>
        <w:t xml:space="preserve">aktu </w:t>
      </w:r>
      <w:r w:rsidR="00DB08F5" w:rsidRPr="00851725">
        <w:rPr>
          <w:lang w:val="pl-PL"/>
        </w:rPr>
        <w:t>p</w:t>
      </w:r>
      <w:r w:rsidR="009B268E" w:rsidRPr="00851725">
        <w:rPr>
          <w:lang w:val="pl-PL"/>
        </w:rPr>
        <w:t xml:space="preserve">raw </w:t>
      </w:r>
      <w:r w:rsidR="00DB08F5" w:rsidRPr="00851725">
        <w:rPr>
          <w:lang w:val="pl-PL"/>
        </w:rPr>
        <w:t>o</w:t>
      </w:r>
      <w:r w:rsidR="009B268E" w:rsidRPr="00851725">
        <w:rPr>
          <w:lang w:val="pl-PL"/>
        </w:rPr>
        <w:t xml:space="preserve">bywatelskich i </w:t>
      </w:r>
      <w:r w:rsidR="00DB08F5" w:rsidRPr="00851725">
        <w:rPr>
          <w:lang w:val="pl-PL"/>
        </w:rPr>
        <w:t>p</w:t>
      </w:r>
      <w:r w:rsidR="009B268E" w:rsidRPr="00851725">
        <w:rPr>
          <w:lang w:val="pl-PL"/>
        </w:rPr>
        <w:t>olitycznych jak również innymi dokumentami międzynarodowymi i regionalnymi, prawo do wolności wyrażania poglądów jest podstawowym prawem człowieka przysługującym każdej osobie</w:t>
      </w:r>
      <w:r w:rsidR="008E4B0F" w:rsidRPr="008E4B0F">
        <w:rPr>
          <w:lang w:val="pl-PL"/>
        </w:rPr>
        <w:t xml:space="preserve"> </w:t>
      </w:r>
      <w:r w:rsidR="008E4B0F">
        <w:rPr>
          <w:lang w:val="pl-PL"/>
        </w:rPr>
        <w:t>i nie podlegającym</w:t>
      </w:r>
      <w:r w:rsidR="008E4B0F" w:rsidRPr="00851725">
        <w:rPr>
          <w:lang w:val="pl-PL"/>
        </w:rPr>
        <w:t xml:space="preserve"> dyskryminacji</w:t>
      </w:r>
      <w:r w:rsidR="009B268E" w:rsidRPr="00851725">
        <w:rPr>
          <w:lang w:val="pl-PL"/>
        </w:rPr>
        <w:t xml:space="preserve">, zarówno w Internecie jak i poza nim. Jest to złożone prawo obejmujące prawo do posiadania opinii oraz prawo do wyszukiwania, otrzymywania i przekazywania informacji i idei wszelkiego rodzaju </w:t>
      </w:r>
      <w:r w:rsidR="00DB08F5" w:rsidRPr="00851725">
        <w:rPr>
          <w:lang w:val="pl-PL"/>
        </w:rPr>
        <w:t>bez ingerencji i ponad granicami.</w:t>
      </w:r>
    </w:p>
    <w:p w:rsidR="00DB08F5" w:rsidRPr="00851725" w:rsidRDefault="002045B9" w:rsidP="002045B9">
      <w:pPr>
        <w:tabs>
          <w:tab w:val="left" w:pos="709"/>
        </w:tabs>
        <w:rPr>
          <w:lang w:val="pl-PL"/>
        </w:rPr>
      </w:pPr>
      <w:r w:rsidRPr="00851725">
        <w:rPr>
          <w:lang w:val="pl-PL"/>
        </w:rPr>
        <w:t>2.</w:t>
      </w:r>
      <w:r w:rsidRPr="00851725">
        <w:rPr>
          <w:lang w:val="pl-PL"/>
        </w:rPr>
        <w:tab/>
      </w:r>
      <w:r w:rsidR="00DB08F5" w:rsidRPr="00851725">
        <w:rPr>
          <w:lang w:val="pl-PL"/>
        </w:rPr>
        <w:t>Prawo do wyrażania poglądów i otrzymywania informacji zagwarantowane w artykule 10 Konwencji o ochronie praw człowieka stanowi jeden z fundamentów społeczeństwa demokratycznego oraz jeden z podstawowych warunków dla jego postępu i rozwoju każdej osoby. Wolność wyrażania poglądów dotyczy nie tylko „informacji” i „idei”, które są odbierane w sposób pozytywny i traktowane jako nieobraźliwe lub obojętnie, ale także takich, które obrażają, szokują lub są niepokojące dla państwa lub dowolnej części społeczeństwa. Dzięki temu wolność wyrażania poglądów wzmacnia ożywioną debatę publiczną, która stanowi warunek wstępny dla istnienia społeczeństwa demokratycznego charakteryzującego się pluralizmem i tolerancyjnością. Dlatego każda ingerencja w prawo wyrażania poglądów przez dziennikarzy i inne osoby zaangażowane w działalność medialną ma reperkusje społeczne i stanowi także ingerencję w prawo innych osób do otrzymywania informacji i idei oraz w debatę publiczną.</w:t>
      </w:r>
    </w:p>
    <w:p w:rsidR="00DB08F5" w:rsidRPr="00851725" w:rsidRDefault="002045B9" w:rsidP="002045B9">
      <w:pPr>
        <w:tabs>
          <w:tab w:val="left" w:pos="709"/>
        </w:tabs>
        <w:rPr>
          <w:lang w:val="pl-PL"/>
        </w:rPr>
      </w:pPr>
      <w:r w:rsidRPr="00851725">
        <w:rPr>
          <w:lang w:val="pl-PL"/>
        </w:rPr>
        <w:t>3.</w:t>
      </w:r>
      <w:r w:rsidRPr="00851725">
        <w:rPr>
          <w:lang w:val="pl-PL"/>
        </w:rPr>
        <w:tab/>
      </w:r>
      <w:r w:rsidR="00DB08F5" w:rsidRPr="00851725">
        <w:rPr>
          <w:lang w:val="pl-PL"/>
        </w:rPr>
        <w:t>Egzekwowanie prawa wolności słowa niesie ze sobą obowiązki i odpowiedzialności określone w artykule 10 ust. 2</w:t>
      </w:r>
      <w:r w:rsidR="00095BA4" w:rsidRPr="00851725">
        <w:rPr>
          <w:lang w:val="pl-PL"/>
        </w:rPr>
        <w:t xml:space="preserve"> Konwencji o ochronie praw człowieka</w:t>
      </w:r>
      <w:r w:rsidR="00DB08F5" w:rsidRPr="00851725">
        <w:rPr>
          <w:lang w:val="pl-PL"/>
        </w:rPr>
        <w:t>. W kontekście dziennikarstw</w:t>
      </w:r>
      <w:r w:rsidR="00595873">
        <w:rPr>
          <w:lang w:val="pl-PL"/>
        </w:rPr>
        <w:t>a</w:t>
      </w:r>
      <w:r w:rsidR="00DB08F5" w:rsidRPr="00851725">
        <w:rPr>
          <w:lang w:val="pl-PL"/>
        </w:rPr>
        <w:t xml:space="preserve"> takie obowiązki i odpowiedzialności uważa si</w:t>
      </w:r>
      <w:r w:rsidR="00595873">
        <w:rPr>
          <w:lang w:val="pl-PL"/>
        </w:rPr>
        <w:t xml:space="preserve">ę za działanie w dobrej wierze oraz </w:t>
      </w:r>
      <w:r w:rsidR="00DB08F5" w:rsidRPr="00851725">
        <w:rPr>
          <w:lang w:val="pl-PL"/>
        </w:rPr>
        <w:t>w celu przekazywania dokładnych i wiarygodnych informacji w zgodzie z zasadami etycznymi obowiązującymi dziennikarzy.</w:t>
      </w:r>
    </w:p>
    <w:p w:rsidR="00095BA4" w:rsidRPr="00851725" w:rsidRDefault="002045B9" w:rsidP="00095BA4">
      <w:pPr>
        <w:tabs>
          <w:tab w:val="left" w:pos="709"/>
        </w:tabs>
        <w:rPr>
          <w:lang w:val="pl-PL"/>
        </w:rPr>
      </w:pPr>
      <w:r w:rsidRPr="00851725">
        <w:rPr>
          <w:lang w:val="pl-PL"/>
        </w:rPr>
        <w:t>4.</w:t>
      </w:r>
      <w:r w:rsidRPr="00851725">
        <w:rPr>
          <w:lang w:val="pl-PL"/>
        </w:rPr>
        <w:tab/>
      </w:r>
      <w:r w:rsidR="00764CE7">
        <w:rPr>
          <w:lang w:val="pl-PL"/>
        </w:rPr>
        <w:t>Chociaż</w:t>
      </w:r>
      <w:r w:rsidR="00DB08F5" w:rsidRPr="00851725">
        <w:rPr>
          <w:lang w:val="pl-PL"/>
        </w:rPr>
        <w:t xml:space="preserve"> wolność wyrażan</w:t>
      </w:r>
      <w:r w:rsidR="00764CE7">
        <w:rPr>
          <w:lang w:val="pl-PL"/>
        </w:rPr>
        <w:t>i</w:t>
      </w:r>
      <w:r w:rsidR="00DB08F5" w:rsidRPr="00851725">
        <w:rPr>
          <w:lang w:val="pl-PL"/>
        </w:rPr>
        <w:t xml:space="preserve">a poglądów nie </w:t>
      </w:r>
      <w:r w:rsidR="00095BA4" w:rsidRPr="00851725">
        <w:rPr>
          <w:lang w:val="pl-PL"/>
        </w:rPr>
        <w:t xml:space="preserve">ma charakteru bezwzględnego, ingerowanie w takie prawo jest dopuszczalne wyłącznie wówczas, gdy jest dozwolone zgodnie z przepisami prawa, ma na celu realizowanie jednego z dopuszczalnych celów wymienionych w artykule 10 ust. 2 Konwencji o ochronie praw człowieka, jest konieczne w demokratycznym społeczeństwie, czyli odpowiada naglącej potrzebie społecznej, i jest proporcjonalne do takich uzasadnionych celów. Cele takie obejmują: bezpieczeństwo narodowe, integralność </w:t>
      </w:r>
      <w:r w:rsidR="00095BA4" w:rsidRPr="00851725">
        <w:rPr>
          <w:lang w:val="pl-PL"/>
        </w:rPr>
        <w:lastRenderedPageBreak/>
        <w:t>terytorialną lub bezpieczeństwo społeczne, zapobieganie niepokojom lub przestępstwom, ochronę zdrowia i zasad moralnych, ochronę dobrego imieniu lub praw innych</w:t>
      </w:r>
      <w:r w:rsidR="00764CE7">
        <w:rPr>
          <w:lang w:val="pl-PL"/>
        </w:rPr>
        <w:t xml:space="preserve"> osób</w:t>
      </w:r>
      <w:r w:rsidR="00095BA4" w:rsidRPr="00851725">
        <w:rPr>
          <w:lang w:val="pl-PL"/>
        </w:rPr>
        <w:t>, zapobieganie ujawnianiu informacji otrzymanych z zastrzeżeniem ich poufności oraz zachowywanie autorytetu i bezstronności wymiaru sprawiedliwości.</w:t>
      </w:r>
    </w:p>
    <w:p w:rsidR="00095BA4" w:rsidRPr="00851725" w:rsidRDefault="002045B9" w:rsidP="002045B9">
      <w:pPr>
        <w:tabs>
          <w:tab w:val="left" w:pos="709"/>
        </w:tabs>
        <w:rPr>
          <w:lang w:val="pl-PL"/>
        </w:rPr>
      </w:pPr>
      <w:r w:rsidRPr="00851725">
        <w:rPr>
          <w:lang w:val="pl-PL"/>
        </w:rPr>
        <w:t xml:space="preserve">5. </w:t>
      </w:r>
      <w:r w:rsidRPr="00851725">
        <w:rPr>
          <w:lang w:val="pl-PL"/>
        </w:rPr>
        <w:tab/>
      </w:r>
      <w:r w:rsidR="00095BA4" w:rsidRPr="00851725">
        <w:rPr>
          <w:lang w:val="pl-PL"/>
        </w:rPr>
        <w:t>Niektóre rodzaje mowy nienawiści, które zachęcają do przemocy lub nienawiści, podlegają zapisom artykułu 17 Konwencji o ochronie praw człowieka (zakaz nadużywania praw) i tym samym nie przyznaje się im ochrony na mocy Konwencji, gdyż ich celem jest niszczenie części takich praw lub wolności wskazanych w Konwencji.</w:t>
      </w:r>
    </w:p>
    <w:p w:rsidR="00095BA4" w:rsidRPr="00851725" w:rsidRDefault="002045B9" w:rsidP="002045B9">
      <w:pPr>
        <w:tabs>
          <w:tab w:val="left" w:pos="709"/>
        </w:tabs>
        <w:rPr>
          <w:lang w:val="pl-PL"/>
        </w:rPr>
      </w:pPr>
      <w:r w:rsidRPr="00851725">
        <w:rPr>
          <w:lang w:val="pl-PL"/>
        </w:rPr>
        <w:t>6.</w:t>
      </w:r>
      <w:r w:rsidRPr="00851725">
        <w:rPr>
          <w:lang w:val="pl-PL"/>
        </w:rPr>
        <w:tab/>
      </w:r>
      <w:r w:rsidR="005E2913" w:rsidRPr="00851725">
        <w:rPr>
          <w:lang w:val="pl-PL"/>
        </w:rPr>
        <w:t xml:space="preserve">Wszystkie </w:t>
      </w:r>
      <w:r w:rsidR="00307DDC" w:rsidRPr="00851725">
        <w:rPr>
          <w:lang w:val="pl-PL"/>
        </w:rPr>
        <w:t xml:space="preserve">prawa człowieka mają charakter powszechny, są niepodzielne, współzależne i wzajemnie powiązane. W szczególności prawo wyrażania poglądów cechuje silny związek z innymi prawami człowieka, takimi jak prawo do wolności myśli, prawo wolności sumienia i wyznania, prawo do wolności zgromadzeń i </w:t>
      </w:r>
      <w:r w:rsidR="002829AF">
        <w:rPr>
          <w:lang w:val="pl-PL"/>
        </w:rPr>
        <w:t>wolność zrzeszania</w:t>
      </w:r>
      <w:r w:rsidR="00307DDC" w:rsidRPr="00851725">
        <w:rPr>
          <w:lang w:val="pl-PL"/>
        </w:rPr>
        <w:t xml:space="preserve"> się oraz prawo do głosowania w wolnych i uczciwych wyborach.</w:t>
      </w:r>
    </w:p>
    <w:p w:rsidR="00307DDC" w:rsidRPr="00851725" w:rsidRDefault="002045B9" w:rsidP="002045B9">
      <w:pPr>
        <w:tabs>
          <w:tab w:val="left" w:pos="709"/>
        </w:tabs>
        <w:rPr>
          <w:lang w:val="pl-PL"/>
        </w:rPr>
      </w:pPr>
      <w:r w:rsidRPr="00851725">
        <w:rPr>
          <w:lang w:val="pl-PL"/>
        </w:rPr>
        <w:t>7.</w:t>
      </w:r>
      <w:r w:rsidRPr="00851725">
        <w:rPr>
          <w:lang w:val="pl-PL"/>
        </w:rPr>
        <w:tab/>
      </w:r>
      <w:r w:rsidR="00307DDC" w:rsidRPr="00851725">
        <w:rPr>
          <w:lang w:val="pl-PL"/>
        </w:rPr>
        <w:t xml:space="preserve">Inne prawa człowieka związane z kwestiami dotyczącymi bezpieczeństwa dziennikarzy i innych osób uczestniczących w działalności medialnej i </w:t>
      </w:r>
      <w:r w:rsidR="00B711FF">
        <w:rPr>
          <w:lang w:val="pl-PL"/>
        </w:rPr>
        <w:t>z walką</w:t>
      </w:r>
      <w:r w:rsidR="00307DDC" w:rsidRPr="00851725">
        <w:rPr>
          <w:lang w:val="pl-PL"/>
        </w:rPr>
        <w:t xml:space="preserve"> z bezkarnością sprawców przestępstw obejmują: prawo do życia (artykuł 2), zakaz stosowania tortur (artykuł 3), prawo do wolności i bezpieczeństwa osobistego (artykuł 5), prawo do rzetelnego procesu sądowego (artykuł 6), zakaz karania bez podstawy prawnej (artykuł 7), prawo do poszanowania życia prywatnego i rodzinnego (artykuł 8) oraz prawo do skutecznego środka odwoławczego (artykuł 13).</w:t>
      </w:r>
    </w:p>
    <w:p w:rsidR="00307DDC" w:rsidRPr="00851725" w:rsidRDefault="002045B9" w:rsidP="002045B9">
      <w:pPr>
        <w:tabs>
          <w:tab w:val="left" w:pos="709"/>
        </w:tabs>
        <w:rPr>
          <w:lang w:val="pl-PL"/>
        </w:rPr>
      </w:pPr>
      <w:r w:rsidRPr="00851725">
        <w:rPr>
          <w:lang w:val="pl-PL"/>
        </w:rPr>
        <w:t>8.</w:t>
      </w:r>
      <w:r w:rsidRPr="00851725">
        <w:rPr>
          <w:lang w:val="pl-PL"/>
        </w:rPr>
        <w:tab/>
      </w:r>
      <w:r w:rsidR="00307DDC" w:rsidRPr="00851725">
        <w:rPr>
          <w:lang w:val="pl-PL"/>
        </w:rPr>
        <w:t xml:space="preserve">Europejska </w:t>
      </w:r>
      <w:r w:rsidR="00B711FF">
        <w:rPr>
          <w:lang w:val="pl-PL"/>
        </w:rPr>
        <w:t xml:space="preserve">konwencja </w:t>
      </w:r>
      <w:r w:rsidR="00595873" w:rsidRPr="00851725">
        <w:rPr>
          <w:lang w:val="pl-PL"/>
        </w:rPr>
        <w:t xml:space="preserve">o ochronie praw człowieka </w:t>
      </w:r>
      <w:r w:rsidR="00307DDC" w:rsidRPr="00851725">
        <w:rPr>
          <w:lang w:val="pl-PL"/>
        </w:rPr>
        <w:t>to żywy dokument, który jest int</w:t>
      </w:r>
      <w:r w:rsidR="00D73FFE">
        <w:rPr>
          <w:lang w:val="pl-PL"/>
        </w:rPr>
        <w:t>erpretowany w świetle aktualnej</w:t>
      </w:r>
      <w:r w:rsidR="00307DDC" w:rsidRPr="00851725">
        <w:rPr>
          <w:lang w:val="pl-PL"/>
        </w:rPr>
        <w:t xml:space="preserve"> sytuacji i w sposób zapewniający, że wszystkie gwarantowane prawa nie są tylko teoretyczne lub iluzoryczne, ale są egzekwowane w sposób praktyczny i skuteczny, zarówno jeśli chodzi o treść takich praw jak i środki zaradcze dostępne w przypadku ich naruszenia.</w:t>
      </w:r>
    </w:p>
    <w:p w:rsidR="00307DDC" w:rsidRPr="00851725" w:rsidRDefault="002045B9" w:rsidP="002045B9">
      <w:pPr>
        <w:tabs>
          <w:tab w:val="left" w:pos="709"/>
        </w:tabs>
        <w:rPr>
          <w:lang w:val="pl-PL"/>
        </w:rPr>
      </w:pPr>
      <w:r w:rsidRPr="00851725">
        <w:rPr>
          <w:lang w:val="pl-PL"/>
        </w:rPr>
        <w:t>9.</w:t>
      </w:r>
      <w:r w:rsidRPr="00851725">
        <w:rPr>
          <w:lang w:val="pl-PL"/>
        </w:rPr>
        <w:tab/>
      </w:r>
      <w:r w:rsidR="00C02212" w:rsidRPr="00851725">
        <w:rPr>
          <w:lang w:val="pl-PL"/>
        </w:rPr>
        <w:t>Postępujący rozwój technologii zmienił tradycyjne środowisko medialne, jak opisuje to m.in. zalecenie CM/Rec (2011)7 w sprawie nowego pojęcia mediów, prowadząc do powstania nowych pojęć mediów i nowego zrozumienia ewoluujących ekosystemów medialnych. Rozwój technologii informacyjnych i komunikacyjnych ułatwił udział w debacie publicznej coraz większej i bardziej zróżnicowanej grupie osób. Z tego względu Europejski Trybunał Praw Człowieka wielokrotnie podkreślał, że oprócz zawodowych dziennikarzy i mediów, wartościowy wkład w debatę publiczną może pochodzić od jednostek</w:t>
      </w:r>
      <w:r w:rsidR="00223098">
        <w:rPr>
          <w:lang w:val="pl-PL"/>
        </w:rPr>
        <w:t>,</w:t>
      </w:r>
      <w:r w:rsidR="00C02212" w:rsidRPr="00851725">
        <w:rPr>
          <w:lang w:val="pl-PL"/>
        </w:rPr>
        <w:t xml:space="preserve"> organizacji społeczeństwa obywatelskiego, demaskatorów nielegalnej lub nieuczciwej działalności i naukowców. Tym samym takie osoby i podmioty odgrywają podobną lub równoważną rolę </w:t>
      </w:r>
      <w:r w:rsidR="00E8614C">
        <w:rPr>
          <w:lang w:val="pl-PL"/>
        </w:rPr>
        <w:t>jak</w:t>
      </w:r>
      <w:r w:rsidR="00C02212" w:rsidRPr="00851725">
        <w:rPr>
          <w:lang w:val="pl-PL"/>
        </w:rPr>
        <w:t xml:space="preserve"> tradycyjne zinstytucjonalizowane media oraz zawodowi dziennikarze.</w:t>
      </w:r>
    </w:p>
    <w:p w:rsidR="00C02212" w:rsidRPr="00851725" w:rsidRDefault="002045B9" w:rsidP="002045B9">
      <w:pPr>
        <w:tabs>
          <w:tab w:val="left" w:pos="709"/>
        </w:tabs>
        <w:rPr>
          <w:lang w:val="pl-PL"/>
        </w:rPr>
      </w:pPr>
      <w:r w:rsidRPr="00851725">
        <w:rPr>
          <w:lang w:val="pl-PL"/>
        </w:rPr>
        <w:t>10.</w:t>
      </w:r>
      <w:r w:rsidRPr="00851725">
        <w:rPr>
          <w:lang w:val="pl-PL"/>
        </w:rPr>
        <w:tab/>
      </w:r>
      <w:r w:rsidR="0016218B" w:rsidRPr="00851725">
        <w:rPr>
          <w:lang w:val="pl-PL"/>
        </w:rPr>
        <w:t xml:space="preserve">Komitet Praw Człowieka ONZ stwierdził także, że „dziennikarstwo jest funkcją realizowaną wspólnie przez szeroki zakres podmiotów, m.in. profesjonalnych zawodowych dziennikarzy i analityków, blogerów i inne osoby, które angażują się w działania polegające na samodzielnej publikacji w druku, </w:t>
      </w:r>
      <w:r w:rsidR="00223098">
        <w:rPr>
          <w:lang w:val="pl-PL"/>
        </w:rPr>
        <w:t>w</w:t>
      </w:r>
      <w:r w:rsidR="0016218B" w:rsidRPr="00851725">
        <w:rPr>
          <w:lang w:val="pl-PL"/>
        </w:rPr>
        <w:t xml:space="preserve"> Internecie lub w innych miejscach”. Zgromadzenie Ogólne ONZ uznało również, że „dziennikarstwo </w:t>
      </w:r>
      <w:r w:rsidR="00872468" w:rsidRPr="00851725">
        <w:rPr>
          <w:lang w:val="pl-PL"/>
        </w:rPr>
        <w:t xml:space="preserve">nieustannie rozwija się dzięki </w:t>
      </w:r>
      <w:r w:rsidR="00223098">
        <w:rPr>
          <w:lang w:val="pl-PL"/>
        </w:rPr>
        <w:t>udziałowi</w:t>
      </w:r>
      <w:r w:rsidR="00872468" w:rsidRPr="00851725">
        <w:rPr>
          <w:lang w:val="pl-PL"/>
        </w:rPr>
        <w:t xml:space="preserve"> instytucji medialnych, osób prywatnych i różnorodnych organizacji, które poszukują, otrzymują i przekazują wszelkiego rodzaju informacje i idee, zarówno w środowisku wirtualnym jak i rzeczywistym […], tym samym przyczyniając się do kształtowania debaty publicznej”. Zgodnie z planem działań ONZ na rzecz bezpieczeństwa dziennikarzy i problemu bezkarności „ochrona dziennikarzy nie powinna być ograniczona do osób, które formalnie uznaje się za wykonujące ten zawód, ale powinna obejmować inne osoby, m.in. </w:t>
      </w:r>
      <w:r w:rsidR="00872468" w:rsidRPr="00851725">
        <w:rPr>
          <w:lang w:val="pl-PL"/>
        </w:rPr>
        <w:lastRenderedPageBreak/>
        <w:t>pracowników mediów społecznościowych i dziennikarzy społecznych oraz inne osoby, które mogą korzystać z nowych mediów jako środka dotarcia do odbiorców”.</w:t>
      </w:r>
    </w:p>
    <w:p w:rsidR="00872468" w:rsidRPr="00851725" w:rsidRDefault="002045B9" w:rsidP="002045B9">
      <w:pPr>
        <w:tabs>
          <w:tab w:val="left" w:pos="709"/>
        </w:tabs>
        <w:rPr>
          <w:lang w:val="pl-PL"/>
        </w:rPr>
      </w:pPr>
      <w:r w:rsidRPr="00851725">
        <w:rPr>
          <w:lang w:val="pl-PL"/>
        </w:rPr>
        <w:t>11.</w:t>
      </w:r>
      <w:r w:rsidRPr="00851725">
        <w:rPr>
          <w:lang w:val="pl-PL"/>
        </w:rPr>
        <w:tab/>
      </w:r>
      <w:r w:rsidR="00FA7474" w:rsidRPr="00851725">
        <w:rPr>
          <w:lang w:val="pl-PL"/>
        </w:rPr>
        <w:t>Spoczywający na państwach obowiązek zapewnienia skutecznego egzekwowania praw człowieka obejmuje nie tylko negatywny obowiązek braku ingerowania</w:t>
      </w:r>
      <w:r w:rsidR="00223098">
        <w:rPr>
          <w:lang w:val="pl-PL"/>
        </w:rPr>
        <w:t>,</w:t>
      </w:r>
      <w:r w:rsidR="00FA7474" w:rsidRPr="00851725">
        <w:rPr>
          <w:lang w:val="pl-PL"/>
        </w:rPr>
        <w:t xml:space="preserve"> ale również pozytywne obowiązki związane z zapewnieniem możliwości realizowania takich praw przez wszystkie osoby znajdujące się w jurysdykcji danego państwa.</w:t>
      </w:r>
    </w:p>
    <w:p w:rsidR="00FA7474" w:rsidRPr="00851725" w:rsidRDefault="002045B9" w:rsidP="002045B9">
      <w:pPr>
        <w:tabs>
          <w:tab w:val="left" w:pos="709"/>
        </w:tabs>
        <w:rPr>
          <w:lang w:val="pl-PL"/>
        </w:rPr>
      </w:pPr>
      <w:r w:rsidRPr="00851725">
        <w:rPr>
          <w:lang w:val="pl-PL"/>
        </w:rPr>
        <w:t>12.</w:t>
      </w:r>
      <w:r w:rsidRPr="00851725">
        <w:rPr>
          <w:lang w:val="pl-PL"/>
        </w:rPr>
        <w:tab/>
      </w:r>
      <w:r w:rsidR="00FA7474" w:rsidRPr="00851725">
        <w:rPr>
          <w:lang w:val="pl-PL"/>
        </w:rPr>
        <w:t xml:space="preserve">Dla rzeczywistego i skutecznego egzekwowania wolności wyrażania poglądów konieczne może być podjęcie różnych pozytywnych środków chroniących to prawo, nawet w sferze relacji między jednostkami. Takie pozytywne </w:t>
      </w:r>
      <w:r w:rsidR="00223098">
        <w:rPr>
          <w:lang w:val="pl-PL"/>
        </w:rPr>
        <w:t>zobowiązania</w:t>
      </w:r>
      <w:r w:rsidR="00FA7474" w:rsidRPr="00851725">
        <w:rPr>
          <w:lang w:val="pl-PL"/>
        </w:rPr>
        <w:t xml:space="preserve"> obejmują m.in. obowiązek tworzenia korzystnego środowiska dla udziału w debacie publicznej dla każdego i umożliwienie wyrażania idei i opinii bez obawy, obowiązek wdrożenia efektywnego systemu ochrony autorów i dziennikarzy, obowiązek zapewnienia ochrony przed przemocą fizyczną i zastraszaniem, obowiązek ochrony życia, obowiązek badania przypadków śmierci oraz obowiązek zapobiegania torturom i znęcaniu się.</w:t>
      </w:r>
    </w:p>
    <w:p w:rsidR="002045B9" w:rsidRPr="00851725" w:rsidRDefault="00FA7474" w:rsidP="002045B9">
      <w:pPr>
        <w:rPr>
          <w:b/>
          <w:i/>
          <w:lang w:val="pl-PL"/>
        </w:rPr>
      </w:pPr>
      <w:r w:rsidRPr="00851725">
        <w:rPr>
          <w:b/>
          <w:i/>
          <w:lang w:val="pl-PL"/>
        </w:rPr>
        <w:t>Przychylne środowisko</w:t>
      </w:r>
    </w:p>
    <w:p w:rsidR="002045B9" w:rsidRPr="00851725" w:rsidRDefault="002045B9" w:rsidP="00FA7474">
      <w:pPr>
        <w:tabs>
          <w:tab w:val="left" w:pos="709"/>
        </w:tabs>
        <w:rPr>
          <w:lang w:val="pl-PL"/>
        </w:rPr>
      </w:pPr>
      <w:r w:rsidRPr="00851725">
        <w:rPr>
          <w:lang w:val="pl-PL"/>
        </w:rPr>
        <w:t>13.</w:t>
      </w:r>
      <w:r w:rsidRPr="00851725">
        <w:rPr>
          <w:lang w:val="pl-PL"/>
        </w:rPr>
        <w:tab/>
      </w:r>
      <w:r w:rsidR="00FA7474" w:rsidRPr="00851725">
        <w:rPr>
          <w:lang w:val="pl-PL"/>
        </w:rPr>
        <w:t>Środowisko przychylne lub sprzyjające wolności wyrażania poglądów ma szereg istotnych cech, które łącznie tworzą warunki, w których swobodnie rozwijać może się wolność wyrażania poglądów i informacji oraz ożywiona debata publiczna. Prawo otrzymywania informacji obejmuje prawo dostępu do informacji. Opinii publicznej przysługuje prawo do otrzymywania informacji i idei, które są ważne dla społeczeństwa i których przekazywanie jest obowiązkiem dziennikarzy i innych osób uczestniczących w działalności medialnej. Gromadzenie informacji stanowi niezbędny i wstępny krok w pracy dziennikarskiej oraz nieodłączną i chronioną część wolności mediów. Uczestniczenie przez dziennikarzy i inne osoby zaangażowan</w:t>
      </w:r>
      <w:r w:rsidR="009F190D">
        <w:rPr>
          <w:lang w:val="pl-PL"/>
        </w:rPr>
        <w:t>e w działalność medialną w debacie publicznej</w:t>
      </w:r>
      <w:r w:rsidR="00FA7474" w:rsidRPr="00851725">
        <w:rPr>
          <w:lang w:val="pl-PL"/>
        </w:rPr>
        <w:t xml:space="preserve"> w sprawach ważnych dla opinii publicznej nie może być utrudniane, np. przez działania </w:t>
      </w:r>
      <w:r w:rsidR="009F190D">
        <w:rPr>
          <w:lang w:val="pl-PL"/>
        </w:rPr>
        <w:t>uniemożliwiające</w:t>
      </w:r>
      <w:r w:rsidR="00FA7474" w:rsidRPr="00851725">
        <w:rPr>
          <w:lang w:val="pl-PL"/>
        </w:rPr>
        <w:t xml:space="preserve"> dostęp do informacji lub przez wprowadzanie arbitralnych ograniczeń, które mogą stać się formą pośredniej cenzury.</w:t>
      </w:r>
    </w:p>
    <w:p w:rsidR="00D850E1" w:rsidRDefault="002045B9" w:rsidP="002045B9">
      <w:pPr>
        <w:tabs>
          <w:tab w:val="left" w:pos="709"/>
        </w:tabs>
        <w:rPr>
          <w:lang w:val="pl-PL"/>
        </w:rPr>
      </w:pPr>
      <w:r w:rsidRPr="00851725">
        <w:rPr>
          <w:lang w:val="pl-PL"/>
        </w:rPr>
        <w:t>14.</w:t>
      </w:r>
      <w:r w:rsidRPr="00851725">
        <w:rPr>
          <w:lang w:val="pl-PL"/>
        </w:rPr>
        <w:tab/>
      </w:r>
      <w:r w:rsidR="00D850E1">
        <w:rPr>
          <w:lang w:val="pl-PL"/>
        </w:rPr>
        <w:t>Ekosystem mediów kształtuje wzajemne oddziaływanie czynników prawnych, politycznych, społeczno-kulturowych, gospodarczych, technologicznych i innych. Jego żywotność jest kluczem do zapewnienia przychylnego środowiska dla wyrażania poglądów i informacji w demokratycznym społeczeństwie. Jedną z cech ekosystemu mediów jest to, że dzięki nowym technologi</w:t>
      </w:r>
      <w:r w:rsidR="002A309D">
        <w:rPr>
          <w:lang w:val="pl-PL"/>
        </w:rPr>
        <w:t>om jednostki uzyskały narzędzia ułatwiające</w:t>
      </w:r>
      <w:r w:rsidR="00D850E1">
        <w:rPr>
          <w:lang w:val="pl-PL"/>
        </w:rPr>
        <w:t xml:space="preserve"> ich udział w debacie publicznej. Inną właściwością ekosystemu mediów jest to, że pośrednicy online mogą pełnić wpływową funkcję moderatorów debaty publicznej za pośrednictwem swoich prywatnych sieci, takich jak media społecznościowe. Należy przypomnieć, że pośrednicy działający w środowisku internetowym są zobowiązani do respektowania prawa swoich użytkowników do wolności wyrażania poglądów i innych praw człowieka.</w:t>
      </w:r>
    </w:p>
    <w:p w:rsidR="00D850E1" w:rsidRDefault="002045B9" w:rsidP="002045B9">
      <w:pPr>
        <w:tabs>
          <w:tab w:val="left" w:pos="709"/>
        </w:tabs>
        <w:rPr>
          <w:lang w:val="pl-PL"/>
        </w:rPr>
      </w:pPr>
      <w:r w:rsidRPr="00851725">
        <w:rPr>
          <w:lang w:val="pl-PL"/>
        </w:rPr>
        <w:t>15.</w:t>
      </w:r>
      <w:r w:rsidRPr="00851725">
        <w:rPr>
          <w:lang w:val="pl-PL"/>
        </w:rPr>
        <w:tab/>
      </w:r>
      <w:r w:rsidR="00D850E1">
        <w:rPr>
          <w:lang w:val="pl-PL"/>
        </w:rPr>
        <w:t xml:space="preserve">Pluralizm mediów i różnorodność treści medialnych stanowią podstawowe elementy działania demokratycznego społeczeństwa i </w:t>
      </w:r>
      <w:r w:rsidR="009F190D">
        <w:rPr>
          <w:lang w:val="pl-PL"/>
        </w:rPr>
        <w:t xml:space="preserve">są </w:t>
      </w:r>
      <w:r w:rsidR="00D850E1">
        <w:rPr>
          <w:lang w:val="pl-PL"/>
        </w:rPr>
        <w:t>następstwem fundamentalnego prawa wyrażania poglądów i informacji gwarantowanego w artykule 10 Konwencji o ochronie praw człowieka. Na państwach spoczywa pozytywny obowiązek gwarantowania pluralizmu w sektorze mediów, czemu towarzyszy zapewnienie różnorodności dostępnych opinii, także kry</w:t>
      </w:r>
      <w:r w:rsidR="00C60C1F">
        <w:rPr>
          <w:lang w:val="pl-PL"/>
        </w:rPr>
        <w:t>tycznych. Niezależni regulatorzy</w:t>
      </w:r>
      <w:r w:rsidR="00D850E1">
        <w:rPr>
          <w:lang w:val="pl-PL"/>
        </w:rPr>
        <w:t xml:space="preserve"> mediów mogą odgrywać ważną rolę w ochronie wolności </w:t>
      </w:r>
      <w:r w:rsidR="009F190D">
        <w:rPr>
          <w:lang w:val="pl-PL"/>
        </w:rPr>
        <w:t xml:space="preserve">i pluralizmu mediów i </w:t>
      </w:r>
      <w:r w:rsidR="00C60C1F">
        <w:rPr>
          <w:lang w:val="pl-PL"/>
        </w:rPr>
        <w:t>dlatego</w:t>
      </w:r>
      <w:r w:rsidR="009F190D">
        <w:rPr>
          <w:lang w:val="pl-PL"/>
        </w:rPr>
        <w:t xml:space="preserve"> powinni</w:t>
      </w:r>
      <w:r w:rsidR="00D850E1">
        <w:rPr>
          <w:lang w:val="pl-PL"/>
        </w:rPr>
        <w:t xml:space="preserve"> dbać o swoją niezależność. Przyjęcie i skuteczne wdrażanie regulacji odnoszących się do własności mediów również odgrywa istotną rolę w tym zakresie. Takie regulacje powinny zapewniać transparentność własności mediów i zapobiegać ich koncentracji, jeśli mogłoby to być niekorzystne dla pluralizmu. Dlatego </w:t>
      </w:r>
      <w:r w:rsidR="00D850E1">
        <w:rPr>
          <w:lang w:val="pl-PL"/>
        </w:rPr>
        <w:lastRenderedPageBreak/>
        <w:t>regulatorzy powinni zajmować się kwestiami takimi jak własność krzyżowa mediów, pośrednia własność mediów oraz ograniczenia nakładane na posiadanie udziałów w mediach przez osoby zajmujące stanowiska publiczne.</w:t>
      </w:r>
    </w:p>
    <w:p w:rsidR="00D850E1" w:rsidRDefault="002045B9" w:rsidP="002045B9">
      <w:pPr>
        <w:tabs>
          <w:tab w:val="left" w:pos="709"/>
        </w:tabs>
        <w:rPr>
          <w:lang w:val="pl-PL"/>
        </w:rPr>
      </w:pPr>
      <w:r w:rsidRPr="00851725">
        <w:rPr>
          <w:lang w:val="pl-PL"/>
        </w:rPr>
        <w:t>16.</w:t>
      </w:r>
      <w:r w:rsidRPr="00851725">
        <w:rPr>
          <w:lang w:val="pl-PL"/>
        </w:rPr>
        <w:tab/>
      </w:r>
      <w:r w:rsidR="00580083">
        <w:rPr>
          <w:lang w:val="pl-PL"/>
        </w:rPr>
        <w:t xml:space="preserve">Podczas swojej pracy dziennikarze i inne osoby działające w branży medialnej są narażone na określone ryzyka, niebezpieczeństwa i dyskryminację ze względu na </w:t>
      </w:r>
      <w:r w:rsidR="009F190D">
        <w:rPr>
          <w:lang w:val="pl-PL"/>
        </w:rPr>
        <w:t>swoją</w:t>
      </w:r>
      <w:r w:rsidR="00580083">
        <w:rPr>
          <w:lang w:val="pl-PL"/>
        </w:rPr>
        <w:t xml:space="preserve"> płeć, tożsamość płciową, orientację seksualną, rasę, kolor skóry, język, religię, przekonania polityczne i inne, pochodzenie narodowe lub społeczne, związki z mniejszościami narodowymi, sytuację majątkową, urodzenie lub inny status. Ponadto zajmowanie się określonymi tematami lub relacjonowan</w:t>
      </w:r>
      <w:r w:rsidR="00EE1D3C">
        <w:rPr>
          <w:lang w:val="pl-PL"/>
        </w:rPr>
        <w:t>ie pewnych kwestii (takich jak d</w:t>
      </w:r>
      <w:r w:rsidR="00580083">
        <w:rPr>
          <w:lang w:val="pl-PL"/>
        </w:rPr>
        <w:t xml:space="preserve">rażliwe </w:t>
      </w:r>
      <w:r w:rsidR="00EE1D3C">
        <w:rPr>
          <w:lang w:val="pl-PL"/>
        </w:rPr>
        <w:t xml:space="preserve">tematy </w:t>
      </w:r>
      <w:r w:rsidR="00580083">
        <w:rPr>
          <w:lang w:val="pl-PL"/>
        </w:rPr>
        <w:t xml:space="preserve">polityczne, religijne, gospodarcze lub społeczne, m.in. </w:t>
      </w:r>
      <w:r w:rsidR="00EE1D3C">
        <w:rPr>
          <w:lang w:val="pl-PL"/>
        </w:rPr>
        <w:t xml:space="preserve">nadużycia </w:t>
      </w:r>
      <w:r w:rsidR="00580083">
        <w:rPr>
          <w:lang w:val="pl-PL"/>
        </w:rPr>
        <w:t>władzy, korupcja i przestępczość) mogą narażać dziennikarzy i inne osoby zaangażowane w pracę mediów na groźby, ataki, obelgi i nękanie ze strony organów państwa i innych podmiotów. Takimi innymi podmiotami mogą być na przykład grupy terrorystyczne lub przestępcze. Należy uwzględniać takie sytuacje przy zapewnianiu skutecznych środków prewencyjnych lub ochronnych.</w:t>
      </w:r>
    </w:p>
    <w:p w:rsidR="00580083" w:rsidRDefault="002045B9" w:rsidP="002045B9">
      <w:pPr>
        <w:tabs>
          <w:tab w:val="left" w:pos="709"/>
        </w:tabs>
        <w:rPr>
          <w:lang w:val="pl-PL"/>
        </w:rPr>
      </w:pPr>
      <w:r w:rsidRPr="00851725">
        <w:rPr>
          <w:lang w:val="pl-PL"/>
        </w:rPr>
        <w:t>17.</w:t>
      </w:r>
      <w:r w:rsidRPr="00851725">
        <w:rPr>
          <w:lang w:val="pl-PL"/>
        </w:rPr>
        <w:tab/>
      </w:r>
      <w:r w:rsidR="00580083">
        <w:rPr>
          <w:lang w:val="pl-PL"/>
        </w:rPr>
        <w:t xml:space="preserve">Dziennikarki i inne kobiety uczestniczące w działalności medialnej są narażone </w:t>
      </w:r>
      <w:r w:rsidR="00652990">
        <w:rPr>
          <w:lang w:val="pl-PL"/>
        </w:rPr>
        <w:t xml:space="preserve">podczas wykonywania swoich obowiązków </w:t>
      </w:r>
      <w:r w:rsidR="00580083">
        <w:rPr>
          <w:lang w:val="pl-PL"/>
        </w:rPr>
        <w:t>na niebezpieczeństwa związane w szczególności z ich płcią. Zagrożenia takie mogą obejmować groźby, przemoc, m.in. seksualną, agresję w kontekście zbiorowej przemocy seksualnej lub nadużycia seksualne w trakcie zatrzymania. Takie niebezpieczeństwa są często potęgowane przez występowanie różnych czynników, takich jak obawa przed zgłaszaniem przestępstw, niedoszacowanie</w:t>
      </w:r>
      <w:r w:rsidR="007C3327">
        <w:rPr>
          <w:lang w:val="pl-PL"/>
        </w:rPr>
        <w:t xml:space="preserve"> ich ilości, brak dostępu do wymiaru sprawiedliwości, bariery społeczne i ograniczenia związane z przemocą związaną z płcią, w tym stygmatyzacja, brak uznawania powagi problemu i postaw</w:t>
      </w:r>
      <w:r w:rsidR="00EE1D3C">
        <w:rPr>
          <w:lang w:val="pl-PL"/>
        </w:rPr>
        <w:t>y</w:t>
      </w:r>
      <w:r w:rsidR="007C3327">
        <w:rPr>
          <w:lang w:val="pl-PL"/>
        </w:rPr>
        <w:t xml:space="preserve"> dy</w:t>
      </w:r>
      <w:r w:rsidR="00EE1D3C">
        <w:rPr>
          <w:lang w:val="pl-PL"/>
        </w:rPr>
        <w:t>skryminacyjne skrajnych grup społecznych</w:t>
      </w:r>
      <w:r w:rsidR="007C3327">
        <w:rPr>
          <w:lang w:val="pl-PL"/>
        </w:rPr>
        <w:t xml:space="preserve">. Konieczne jest systemowe i wrażliwe na kwestie płci podejście w celu zapobiegania i zwalczania takich określonych niebezpieczeństw oraz przeciwdziałania </w:t>
      </w:r>
      <w:r w:rsidR="00966DDF">
        <w:rPr>
          <w:lang w:val="pl-PL"/>
        </w:rPr>
        <w:t>leżącym</w:t>
      </w:r>
      <w:r w:rsidR="007C3327">
        <w:rPr>
          <w:lang w:val="pl-PL"/>
        </w:rPr>
        <w:t xml:space="preserve"> u ich podstaw zwyczajom i praktykom społecznym</w:t>
      </w:r>
      <w:r w:rsidR="00966DDF">
        <w:rPr>
          <w:lang w:val="pl-PL"/>
        </w:rPr>
        <w:t>,</w:t>
      </w:r>
      <w:r w:rsidR="007C3327">
        <w:rPr>
          <w:lang w:val="pl-PL"/>
        </w:rPr>
        <w:t xml:space="preserve"> stereotypom płci, uprzedzeniom i dyskryminacji, które je karmią. Władze państwowe ponoszą zasadniczą odpowiedzialność za tworzenie takich strategii, jednak media, społeczeństwo obywatelskie i organizacj</w:t>
      </w:r>
      <w:r w:rsidR="00966DDF">
        <w:rPr>
          <w:lang w:val="pl-PL"/>
        </w:rPr>
        <w:t>e gospodarcze mają również ważną</w:t>
      </w:r>
      <w:r w:rsidR="007C3327">
        <w:rPr>
          <w:lang w:val="pl-PL"/>
        </w:rPr>
        <w:t xml:space="preserve"> rolę do odegrania: perspektywa uwzględniająca płeć powinna stanowić centralny element wszystkich działań i programów dotyczących ochrony dziennikarzy i innych osób uczestniczących w działalności medialnej oraz walce z bezkarnością sprawców.</w:t>
      </w:r>
    </w:p>
    <w:p w:rsidR="007C3327" w:rsidRDefault="002045B9" w:rsidP="002045B9">
      <w:pPr>
        <w:tabs>
          <w:tab w:val="left" w:pos="709"/>
        </w:tabs>
        <w:rPr>
          <w:lang w:val="pl-PL"/>
        </w:rPr>
      </w:pPr>
      <w:r w:rsidRPr="00851725">
        <w:rPr>
          <w:lang w:val="pl-PL"/>
        </w:rPr>
        <w:t>18.</w:t>
      </w:r>
      <w:r w:rsidRPr="00851725">
        <w:rPr>
          <w:lang w:val="pl-PL"/>
        </w:rPr>
        <w:tab/>
      </w:r>
      <w:r w:rsidR="00E37EC1">
        <w:rPr>
          <w:lang w:val="pl-PL"/>
        </w:rPr>
        <w:t>Możliwość korzystania z prawa do wyrażania poglądów bez strachu przed reperkusjami oznacza co najmn</w:t>
      </w:r>
      <w:r w:rsidR="00966DDF">
        <w:rPr>
          <w:lang w:val="pl-PL"/>
        </w:rPr>
        <w:t>iej, że ochrona i bezpieczeństwo</w:t>
      </w:r>
      <w:r w:rsidR="00E37EC1">
        <w:rPr>
          <w:lang w:val="pl-PL"/>
        </w:rPr>
        <w:t xml:space="preserve"> każdej jednostki, w szczególności dziennikarzy i innych osób uczestniczących w działalności medialnej, zostają zagwarantowane</w:t>
      </w:r>
      <w:r w:rsidR="00966DDF">
        <w:rPr>
          <w:lang w:val="pl-PL"/>
        </w:rPr>
        <w:t xml:space="preserve"> w praktyce. O</w:t>
      </w:r>
      <w:r w:rsidR="00941AFF">
        <w:rPr>
          <w:lang w:val="pl-PL"/>
        </w:rPr>
        <w:t>czekuje się</w:t>
      </w:r>
      <w:r w:rsidR="00966DDF">
        <w:rPr>
          <w:lang w:val="pl-PL"/>
        </w:rPr>
        <w:t xml:space="preserve"> także</w:t>
      </w:r>
      <w:r w:rsidR="00941AFF">
        <w:rPr>
          <w:lang w:val="pl-PL"/>
        </w:rPr>
        <w:t>, że osoby takie będą mogły uczestniczyć w debacie publicznej bez obaw i bez konieczności zmiany swojego postępowania na skutek strachu. Obawy mogą wynikać z nękania w Internecie, gróźb i cyberataków oraz innych niezgodnych z prawem zachowań, m.in. trolling</w:t>
      </w:r>
      <w:r w:rsidR="00966DDF">
        <w:rPr>
          <w:lang w:val="pl-PL"/>
        </w:rPr>
        <w:t>u</w:t>
      </w:r>
      <w:r w:rsidR="00941AFF">
        <w:rPr>
          <w:lang w:val="pl-PL"/>
        </w:rPr>
        <w:t xml:space="preserve">, cyberstalkingu, </w:t>
      </w:r>
      <w:r w:rsidR="00966DDF">
        <w:rPr>
          <w:lang w:val="pl-PL"/>
        </w:rPr>
        <w:t>włamań</w:t>
      </w:r>
      <w:r w:rsidR="00941AFF">
        <w:rPr>
          <w:lang w:val="pl-PL"/>
        </w:rPr>
        <w:t xml:space="preserve"> na konta poczty elektronicznej i profile w mediach społecznościowych i strony internetowe oraz na telefony komórkowe i inne urządzenia elektroniczne. Zag</w:t>
      </w:r>
      <w:r w:rsidR="00966DDF">
        <w:rPr>
          <w:lang w:val="pl-PL"/>
        </w:rPr>
        <w:t>rożenie nękaniem, groźbami, obel</w:t>
      </w:r>
      <w:r w:rsidR="00941AFF">
        <w:rPr>
          <w:lang w:val="pl-PL"/>
        </w:rPr>
        <w:t>gami w Internecie i naruszeniami bezpieczeństwa cyfrowego dotyka w szczególności dziennikarki i inne kobiety aktywne w działalności medialnej, co wymaga reagowania w sposób uwzględniający kwestie płci</w:t>
      </w:r>
      <w:r w:rsidR="00EE1D3C">
        <w:rPr>
          <w:lang w:val="pl-PL"/>
        </w:rPr>
        <w:t xml:space="preserve"> ofiar</w:t>
      </w:r>
      <w:r w:rsidR="00941AFF">
        <w:rPr>
          <w:lang w:val="pl-PL"/>
        </w:rPr>
        <w:t>. Jednak groźby i przemoc nie stanowią jedynych źródeł strachu. Obawy mogą wynikać także z szeregu nacisków prawnych, politycznych, społec</w:t>
      </w:r>
      <w:r w:rsidR="00966DDF">
        <w:rPr>
          <w:lang w:val="pl-PL"/>
        </w:rPr>
        <w:t>zno-kulturowych</w:t>
      </w:r>
      <w:r w:rsidR="00941AFF">
        <w:rPr>
          <w:lang w:val="pl-PL"/>
        </w:rPr>
        <w:t xml:space="preserve"> i gospodarczych lub zagrożenia ich stosowania. Naciski takie mogą oddziaływać szczególnie mocno w okresach kryzysów gospodarczych i trudności finansowych.</w:t>
      </w:r>
    </w:p>
    <w:p w:rsidR="00941AFF" w:rsidRDefault="002045B9" w:rsidP="002045B9">
      <w:pPr>
        <w:tabs>
          <w:tab w:val="left" w:pos="709"/>
        </w:tabs>
        <w:rPr>
          <w:lang w:val="pl-PL"/>
        </w:rPr>
      </w:pPr>
      <w:r w:rsidRPr="00851725">
        <w:rPr>
          <w:lang w:val="pl-PL"/>
        </w:rPr>
        <w:t>19.</w:t>
      </w:r>
      <w:r w:rsidRPr="00851725">
        <w:rPr>
          <w:lang w:val="pl-PL"/>
        </w:rPr>
        <w:tab/>
      </w:r>
      <w:r w:rsidR="00941AFF">
        <w:rPr>
          <w:lang w:val="pl-PL"/>
        </w:rPr>
        <w:t>Groź</w:t>
      </w:r>
      <w:r w:rsidR="00966DDF">
        <w:rPr>
          <w:lang w:val="pl-PL"/>
        </w:rPr>
        <w:t>by i zastraszanie dziennikarzy oraz</w:t>
      </w:r>
      <w:r w:rsidR="00941AFF">
        <w:rPr>
          <w:lang w:val="pl-PL"/>
        </w:rPr>
        <w:t xml:space="preserve"> innych osób angażujących się w działalność medialną mogą być często traktowane jako symptomy lub sygnały ostrzegawcze o szerszych </w:t>
      </w:r>
      <w:r w:rsidR="00941AFF">
        <w:rPr>
          <w:lang w:val="pl-PL"/>
        </w:rPr>
        <w:lastRenderedPageBreak/>
        <w:t>lub rosnących zagrożeniach dla wolności wyrażania poglądów w społeczeństwie. Tym samym wskazują one na ogólne pogorszenie się sytuacji w obszarze praw człowieka, demokracji i przestrzegania prawa.</w:t>
      </w:r>
    </w:p>
    <w:p w:rsidR="002045B9" w:rsidRPr="00851725" w:rsidRDefault="00941AFF" w:rsidP="002045B9">
      <w:pPr>
        <w:rPr>
          <w:b/>
          <w:i/>
          <w:lang w:val="pl-PL"/>
        </w:rPr>
      </w:pPr>
      <w:r>
        <w:rPr>
          <w:b/>
          <w:i/>
          <w:lang w:val="pl-PL"/>
        </w:rPr>
        <w:t>Bezpieczeństwo i ochrona</w:t>
      </w:r>
    </w:p>
    <w:p w:rsidR="00941AFF" w:rsidRDefault="002045B9" w:rsidP="002045B9">
      <w:pPr>
        <w:tabs>
          <w:tab w:val="left" w:pos="709"/>
        </w:tabs>
        <w:rPr>
          <w:rFonts w:eastAsia="SimSun"/>
          <w:lang w:val="pl-PL" w:eastAsia="zh-CN"/>
        </w:rPr>
      </w:pPr>
      <w:r w:rsidRPr="00851725">
        <w:rPr>
          <w:rFonts w:eastAsia="SimSun"/>
          <w:lang w:val="pl-PL" w:eastAsia="zh-CN"/>
        </w:rPr>
        <w:t>20.</w:t>
      </w:r>
      <w:r w:rsidRPr="00851725">
        <w:rPr>
          <w:rFonts w:eastAsia="SimSun"/>
          <w:lang w:val="pl-PL" w:eastAsia="zh-CN"/>
        </w:rPr>
        <w:tab/>
      </w:r>
      <w:r w:rsidR="00941AFF">
        <w:rPr>
          <w:rFonts w:eastAsia="SimSun"/>
          <w:lang w:val="pl-PL" w:eastAsia="zh-CN"/>
        </w:rPr>
        <w:t xml:space="preserve">Państwo jest zobowiązane gwarantować bezpieczeństwo i </w:t>
      </w:r>
      <w:r w:rsidR="00123817">
        <w:rPr>
          <w:rFonts w:eastAsia="SimSun"/>
          <w:lang w:val="pl-PL" w:eastAsia="zh-CN"/>
        </w:rPr>
        <w:t>nietykalność</w:t>
      </w:r>
      <w:r w:rsidR="00941AFF">
        <w:rPr>
          <w:rFonts w:eastAsia="SimSun"/>
          <w:lang w:val="pl-PL" w:eastAsia="zh-CN"/>
        </w:rPr>
        <w:t xml:space="preserve"> fizyczną wszystkich osób znajdujących się w jego jurysdykcji. Zobowiązanie takie obejmuje nie tylko negatywny obowiązek powstrzymywania się przed umyślnym i bezprawnym pozbawianiem życia</w:t>
      </w:r>
      <w:r w:rsidR="00B8615B">
        <w:rPr>
          <w:rFonts w:eastAsia="SimSun"/>
          <w:lang w:val="pl-PL" w:eastAsia="zh-CN"/>
        </w:rPr>
        <w:t>,</w:t>
      </w:r>
      <w:r w:rsidR="00941AFF">
        <w:rPr>
          <w:rFonts w:eastAsia="SimSun"/>
          <w:lang w:val="pl-PL" w:eastAsia="zh-CN"/>
        </w:rPr>
        <w:t xml:space="preserve"> ale pociąga za sobą również pozytywny obowiązek podejmowania odpowiednich kroków mających chronić życie osób przebywających na obszarze jurysdykcji</w:t>
      </w:r>
      <w:r w:rsidR="00B51082">
        <w:rPr>
          <w:rFonts w:eastAsia="SimSun"/>
          <w:lang w:val="pl-PL" w:eastAsia="zh-CN"/>
        </w:rPr>
        <w:t xml:space="preserve"> danego państwa</w:t>
      </w:r>
      <w:r w:rsidR="00941AFF">
        <w:rPr>
          <w:rFonts w:eastAsia="SimSun"/>
          <w:lang w:val="pl-PL" w:eastAsia="zh-CN"/>
        </w:rPr>
        <w:t>. Taki pozytywny obowiązek ma wymiar materialny i proceduralny.</w:t>
      </w:r>
    </w:p>
    <w:p w:rsidR="00941AFF" w:rsidRDefault="002045B9" w:rsidP="002045B9">
      <w:pPr>
        <w:tabs>
          <w:tab w:val="left" w:pos="709"/>
        </w:tabs>
        <w:rPr>
          <w:rFonts w:eastAsia="SimSun"/>
          <w:lang w:val="pl-PL" w:eastAsia="zh-CN"/>
        </w:rPr>
      </w:pPr>
      <w:r w:rsidRPr="00851725">
        <w:rPr>
          <w:rFonts w:eastAsia="SimSun"/>
          <w:lang w:val="pl-PL" w:eastAsia="zh-CN"/>
        </w:rPr>
        <w:t>21.</w:t>
      </w:r>
      <w:r w:rsidRPr="00851725">
        <w:rPr>
          <w:rFonts w:eastAsia="SimSun"/>
          <w:lang w:val="pl-PL" w:eastAsia="zh-CN"/>
        </w:rPr>
        <w:tab/>
      </w:r>
      <w:r w:rsidR="00941AFF">
        <w:rPr>
          <w:rFonts w:eastAsia="SimSun"/>
          <w:lang w:val="pl-PL" w:eastAsia="zh-CN"/>
        </w:rPr>
        <w:t xml:space="preserve">Wymiar materialny tego obowiązku obejmuje podstawowe zobowiązanie państwa </w:t>
      </w:r>
      <w:r w:rsidR="00B51082">
        <w:rPr>
          <w:rFonts w:eastAsia="SimSun"/>
          <w:lang w:val="pl-PL" w:eastAsia="zh-CN"/>
        </w:rPr>
        <w:t xml:space="preserve">do </w:t>
      </w:r>
      <w:r w:rsidR="00941AFF">
        <w:rPr>
          <w:rFonts w:eastAsia="SimSun"/>
          <w:lang w:val="pl-PL" w:eastAsia="zh-CN"/>
        </w:rPr>
        <w:t xml:space="preserve">ochrony prawa do życia przez wprowadzenie skutecznych </w:t>
      </w:r>
      <w:r w:rsidR="00BF1F79">
        <w:rPr>
          <w:rFonts w:eastAsia="SimSun"/>
          <w:lang w:val="pl-PL" w:eastAsia="zh-CN"/>
        </w:rPr>
        <w:t>przepisów prawa karnego, które powstrzymują przed pope</w:t>
      </w:r>
      <w:r w:rsidR="00B51082">
        <w:rPr>
          <w:rFonts w:eastAsia="SimSun"/>
          <w:lang w:val="pl-PL" w:eastAsia="zh-CN"/>
        </w:rPr>
        <w:t>łnianiem przestępstw wobec osób i</w:t>
      </w:r>
      <w:r w:rsidR="00BF1F79">
        <w:rPr>
          <w:rFonts w:eastAsia="SimSun"/>
          <w:lang w:val="pl-PL" w:eastAsia="zh-CN"/>
        </w:rPr>
        <w:t xml:space="preserve"> które są wsparte mechanizmem egzekwowania prawa w celu zapobiegania, zwalczania i karania naruszeń takich przepisów. Obejmuje to również w okreś</w:t>
      </w:r>
      <w:r w:rsidR="00BA1897">
        <w:rPr>
          <w:rFonts w:eastAsia="SimSun"/>
          <w:lang w:val="pl-PL" w:eastAsia="zh-CN"/>
        </w:rPr>
        <w:t>lonych okolicznościach pozytywny</w:t>
      </w:r>
      <w:r w:rsidR="00BF1F79">
        <w:rPr>
          <w:rFonts w:eastAsia="SimSun"/>
          <w:lang w:val="pl-PL" w:eastAsia="zh-CN"/>
        </w:rPr>
        <w:t xml:space="preserve"> obowiązek organów państwowych podejmowania prewencyjnych działań operacyjnych w celu ochrony osób, których życie jest zagrożone przez przestępczą działalność innych osób. </w:t>
      </w:r>
      <w:r w:rsidR="00BA1897">
        <w:rPr>
          <w:rFonts w:eastAsia="SimSun"/>
          <w:lang w:val="pl-PL" w:eastAsia="zh-CN"/>
        </w:rPr>
        <w:t>Uwzględniając trudności występujące</w:t>
      </w:r>
      <w:r w:rsidR="00BF1F79">
        <w:rPr>
          <w:rFonts w:eastAsia="SimSun"/>
          <w:lang w:val="pl-PL" w:eastAsia="zh-CN"/>
        </w:rPr>
        <w:t xml:space="preserve"> w utrzymywaniu porządku we współczesnych społ</w:t>
      </w:r>
      <w:r w:rsidR="00BA1897">
        <w:rPr>
          <w:rFonts w:eastAsia="SimSun"/>
          <w:lang w:val="pl-PL" w:eastAsia="zh-CN"/>
        </w:rPr>
        <w:t>eczeństwach, nieprzewidywalność</w:t>
      </w:r>
      <w:r w:rsidR="00BF1F79">
        <w:rPr>
          <w:rFonts w:eastAsia="SimSun"/>
          <w:lang w:val="pl-PL" w:eastAsia="zh-CN"/>
        </w:rPr>
        <w:t xml:space="preserve"> ludzkic</w:t>
      </w:r>
      <w:r w:rsidR="00BA1897">
        <w:rPr>
          <w:rFonts w:eastAsia="SimSun"/>
          <w:lang w:val="pl-PL" w:eastAsia="zh-CN"/>
        </w:rPr>
        <w:t>h zachowań oraz wybory operacyjne</w:t>
      </w:r>
      <w:r w:rsidR="00BF1F79">
        <w:rPr>
          <w:rFonts w:eastAsia="SimSun"/>
          <w:lang w:val="pl-PL" w:eastAsia="zh-CN"/>
        </w:rPr>
        <w:t xml:space="preserve">, które muszą być podejmowane w kategoriach priorytetów i zasobów, zakres tego pozytywnego obowiązku należy interpretować w sposób, który nie nakłada niemożliwego lub nieproporcjonalnego obciążenia na władze. Niemniej jednak władze </w:t>
      </w:r>
      <w:r w:rsidR="00BA1897">
        <w:rPr>
          <w:rFonts w:eastAsia="SimSun"/>
          <w:lang w:val="pl-PL" w:eastAsia="zh-CN"/>
        </w:rPr>
        <w:t xml:space="preserve">państwowe </w:t>
      </w:r>
      <w:r w:rsidR="00BF1F79">
        <w:rPr>
          <w:rFonts w:eastAsia="SimSun"/>
          <w:lang w:val="pl-PL" w:eastAsia="zh-CN"/>
        </w:rPr>
        <w:t xml:space="preserve">powinny zwracać szczególną uwagę na sytuację dziennikarzy relacjonujących </w:t>
      </w:r>
      <w:r w:rsidR="00FE73AF">
        <w:rPr>
          <w:rFonts w:eastAsia="SimSun"/>
          <w:lang w:val="pl-PL" w:eastAsia="zh-CN"/>
        </w:rPr>
        <w:t xml:space="preserve">kontrowersyjne </w:t>
      </w:r>
      <w:r w:rsidR="00BF1F79">
        <w:rPr>
          <w:rFonts w:eastAsia="SimSun"/>
          <w:lang w:val="pl-PL" w:eastAsia="zh-CN"/>
        </w:rPr>
        <w:t xml:space="preserve">tematy polityczne, którzy są szczególnie zagrożeni </w:t>
      </w:r>
      <w:r w:rsidR="008F738E">
        <w:rPr>
          <w:rFonts w:eastAsia="SimSun"/>
          <w:lang w:val="pl-PL" w:eastAsia="zh-CN"/>
        </w:rPr>
        <w:t>ze strony</w:t>
      </w:r>
      <w:r w:rsidR="00BF1F79">
        <w:rPr>
          <w:rFonts w:eastAsia="SimSun"/>
          <w:lang w:val="pl-PL" w:eastAsia="zh-CN"/>
        </w:rPr>
        <w:t xml:space="preserve"> takich sił.</w:t>
      </w:r>
    </w:p>
    <w:p w:rsidR="00BF1F79" w:rsidRDefault="002045B9" w:rsidP="002045B9">
      <w:pPr>
        <w:tabs>
          <w:tab w:val="left" w:pos="709"/>
        </w:tabs>
        <w:rPr>
          <w:lang w:val="pl-PL"/>
        </w:rPr>
      </w:pPr>
      <w:r w:rsidRPr="00851725">
        <w:rPr>
          <w:lang w:val="pl-PL"/>
        </w:rPr>
        <w:t>22.</w:t>
      </w:r>
      <w:r w:rsidRPr="00851725">
        <w:rPr>
          <w:lang w:val="pl-PL"/>
        </w:rPr>
        <w:tab/>
      </w:r>
      <w:r w:rsidR="00BF1F79">
        <w:rPr>
          <w:lang w:val="pl-PL"/>
        </w:rPr>
        <w:t>Niezgodne z prawem i arbitralne działania urzędników państwowych są niemożliwe do pogodzenia ze skutecznym egzekwowaniem praw człowieka. Oznacza to, że oprócz usankcjonowania zgodnie z przepisami krajowymi, działania policyjne, w tym podejmowane w stosunku do demonstracji publicznych, muszą być w wystarczającym stopniu regulowane w ramach sy</w:t>
      </w:r>
      <w:r w:rsidR="008F738E">
        <w:rPr>
          <w:lang w:val="pl-PL"/>
        </w:rPr>
        <w:t>s</w:t>
      </w:r>
      <w:r w:rsidR="00BF1F79">
        <w:rPr>
          <w:lang w:val="pl-PL"/>
        </w:rPr>
        <w:t xml:space="preserve">temu odpowiednich i skutecznych zabezpieczeń przed arbitralnością i nadużywaniem władzy a nawet </w:t>
      </w:r>
      <w:r w:rsidR="008F738E">
        <w:rPr>
          <w:lang w:val="pl-PL"/>
        </w:rPr>
        <w:t xml:space="preserve">przed </w:t>
      </w:r>
      <w:r w:rsidR="00BF1F79">
        <w:rPr>
          <w:lang w:val="pl-PL"/>
        </w:rPr>
        <w:t>wypadkami</w:t>
      </w:r>
      <w:r w:rsidR="008F738E">
        <w:rPr>
          <w:lang w:val="pl-PL"/>
        </w:rPr>
        <w:t>, którym można zapobiec</w:t>
      </w:r>
      <w:r w:rsidR="00BF1F79">
        <w:rPr>
          <w:lang w:val="pl-PL"/>
        </w:rPr>
        <w:t>. Oznacza to potrzebę uwzględniania nie tylko działań urzędników państwowych, którzy faktycznie egzekwują dział</w:t>
      </w:r>
      <w:r w:rsidR="008F738E">
        <w:rPr>
          <w:lang w:val="pl-PL"/>
        </w:rPr>
        <w:t>ania siłowe, ale także wszystkich</w:t>
      </w:r>
      <w:r w:rsidR="00BF1F79">
        <w:rPr>
          <w:lang w:val="pl-PL"/>
        </w:rPr>
        <w:t xml:space="preserve"> okoliczności, w tym kwesti</w:t>
      </w:r>
      <w:r w:rsidR="00B00AE4">
        <w:rPr>
          <w:lang w:val="pl-PL"/>
        </w:rPr>
        <w:t>i takich</w:t>
      </w:r>
      <w:r w:rsidR="00BF1F79">
        <w:rPr>
          <w:lang w:val="pl-PL"/>
        </w:rPr>
        <w:t xml:space="preserve"> jak planowanie i kontrola badanych działań. Ramy prawne i administracyjne powinny określać ograniczone okoliczności, w których przedstawiciele organów ochrony porządku publicznego mogą korzystać z siły i broni w świetle międzynarodowych standardów stworzonych w tym obszarze. W tym względzie potrzebna jest czytelna hierarchia służbowa, które</w:t>
      </w:r>
      <w:r w:rsidR="00B00AE4">
        <w:rPr>
          <w:lang w:val="pl-PL"/>
        </w:rPr>
        <w:t>j</w:t>
      </w:r>
      <w:r w:rsidR="00BF1F79">
        <w:rPr>
          <w:lang w:val="pl-PL"/>
        </w:rPr>
        <w:t xml:space="preserve"> towarzyszą wyraźne zalecenia i kryteria. Specjalne szkolenia w zakresie praw człowieka mogą pomóc w formułowaniu takich zaleceń i kryteriów. W żadnym przypadku trudności występujące nieodłącznie w walce z przestępczością nie mogą uzasadniać wprowadzania ograniczeń w stosunku do ochrony przyznawanej w związku z </w:t>
      </w:r>
      <w:r w:rsidR="00123817">
        <w:rPr>
          <w:lang w:val="pl-PL"/>
        </w:rPr>
        <w:t>nietykalnością</w:t>
      </w:r>
      <w:r w:rsidR="0080233C">
        <w:rPr>
          <w:lang w:val="pl-PL"/>
        </w:rPr>
        <w:t xml:space="preserve"> cielesną osób, a artykuł</w:t>
      </w:r>
      <w:r w:rsidR="00BF1F79">
        <w:rPr>
          <w:lang w:val="pl-PL"/>
        </w:rPr>
        <w:t xml:space="preserve"> 3 Europejskiej konwencji </w:t>
      </w:r>
      <w:r w:rsidR="0080233C">
        <w:rPr>
          <w:lang w:val="pl-PL"/>
        </w:rPr>
        <w:t xml:space="preserve">o ochronie </w:t>
      </w:r>
      <w:r w:rsidR="00BF1F79">
        <w:rPr>
          <w:lang w:val="pl-PL"/>
        </w:rPr>
        <w:t xml:space="preserve">praw człowieka </w:t>
      </w:r>
      <w:r w:rsidR="0080233C">
        <w:rPr>
          <w:lang w:val="pl-PL"/>
        </w:rPr>
        <w:t xml:space="preserve">nie przewiduje </w:t>
      </w:r>
      <w:r w:rsidR="00B00AE4">
        <w:rPr>
          <w:lang w:val="pl-PL"/>
        </w:rPr>
        <w:t xml:space="preserve">ograniczania </w:t>
      </w:r>
      <w:r w:rsidR="0080233C">
        <w:rPr>
          <w:lang w:val="pl-PL"/>
        </w:rPr>
        <w:t xml:space="preserve">prawa do </w:t>
      </w:r>
      <w:r w:rsidR="00123817">
        <w:rPr>
          <w:lang w:val="pl-PL"/>
        </w:rPr>
        <w:t>nietykalności</w:t>
      </w:r>
      <w:r w:rsidR="0080233C">
        <w:rPr>
          <w:lang w:val="pl-PL"/>
        </w:rPr>
        <w:t xml:space="preserve"> fizycznej osób ze względu na cel, jakim jest utrzymanie porządku publicznego.</w:t>
      </w:r>
    </w:p>
    <w:p w:rsidR="0080233C" w:rsidRDefault="002045B9" w:rsidP="002045B9">
      <w:pPr>
        <w:tabs>
          <w:tab w:val="left" w:pos="709"/>
        </w:tabs>
        <w:rPr>
          <w:rFonts w:eastAsia="SimSun"/>
          <w:lang w:val="pl-PL" w:eastAsia="zh-CN"/>
        </w:rPr>
      </w:pPr>
      <w:r w:rsidRPr="00851725">
        <w:rPr>
          <w:rFonts w:eastAsia="SimSun"/>
          <w:lang w:val="pl-PL" w:eastAsia="zh-CN"/>
        </w:rPr>
        <w:t>23.</w:t>
      </w:r>
      <w:r w:rsidRPr="00851725">
        <w:rPr>
          <w:rFonts w:eastAsia="SimSun"/>
          <w:lang w:val="pl-PL" w:eastAsia="zh-CN"/>
        </w:rPr>
        <w:tab/>
      </w:r>
      <w:r w:rsidR="00011F22">
        <w:rPr>
          <w:rFonts w:eastAsia="SimSun"/>
          <w:lang w:val="pl-PL" w:eastAsia="zh-CN"/>
        </w:rPr>
        <w:t xml:space="preserve">Wymiar proceduralny </w:t>
      </w:r>
      <w:r w:rsidR="008810A6">
        <w:rPr>
          <w:rFonts w:eastAsia="SimSun"/>
          <w:lang w:val="pl-PL" w:eastAsia="zh-CN"/>
        </w:rPr>
        <w:t>obejmuje</w:t>
      </w:r>
      <w:r w:rsidR="00011F22">
        <w:rPr>
          <w:rFonts w:eastAsia="SimSun"/>
          <w:lang w:val="pl-PL" w:eastAsia="zh-CN"/>
        </w:rPr>
        <w:t xml:space="preserve"> w pierwszej kolejności pozytywny obowiązek państwa do przeprowadzania skutecznych, niezależnych i bezzwłocznych dochodzeń w sprawie oskarżeń o zabójstwo lub znęcanie się ze strony agencji rządowych lub innych podmiotów, w celu ścigania sprawców takich przestępstw i postawienia ich przed wymiarem sprawiedliwości. Artykuł 13 wymaga od państw zapewnienia skutecznych środków odwoławczych w przypadku naruszenia materialnych praw wynikających z Konwencji.</w:t>
      </w:r>
    </w:p>
    <w:p w:rsidR="00011F22" w:rsidRDefault="002045B9" w:rsidP="002045B9">
      <w:pPr>
        <w:tabs>
          <w:tab w:val="left" w:pos="709"/>
        </w:tabs>
        <w:rPr>
          <w:rFonts w:eastAsia="SimSun"/>
          <w:lang w:val="pl-PL" w:eastAsia="zh-CN"/>
        </w:rPr>
      </w:pPr>
      <w:r w:rsidRPr="00851725">
        <w:rPr>
          <w:rFonts w:eastAsia="SimSun"/>
          <w:lang w:val="pl-PL" w:eastAsia="zh-CN"/>
        </w:rPr>
        <w:lastRenderedPageBreak/>
        <w:t>24.</w:t>
      </w:r>
      <w:r w:rsidRPr="00851725">
        <w:rPr>
          <w:rFonts w:eastAsia="SimSun"/>
          <w:lang w:val="pl-PL" w:eastAsia="zh-CN"/>
        </w:rPr>
        <w:tab/>
      </w:r>
      <w:r w:rsidR="00011F22">
        <w:rPr>
          <w:rFonts w:eastAsia="SimSun"/>
          <w:lang w:val="pl-PL" w:eastAsia="zh-CN"/>
        </w:rPr>
        <w:t>Brak takich skute</w:t>
      </w:r>
      <w:r w:rsidR="008810A6">
        <w:rPr>
          <w:rFonts w:eastAsia="SimSun"/>
          <w:lang w:val="pl-PL" w:eastAsia="zh-CN"/>
        </w:rPr>
        <w:t>cznych środków powoduje powstanie</w:t>
      </w:r>
      <w:r w:rsidR="00011F22">
        <w:rPr>
          <w:rFonts w:eastAsia="SimSun"/>
          <w:lang w:val="pl-PL" w:eastAsia="zh-CN"/>
        </w:rPr>
        <w:t xml:space="preserve"> kultury bezkarności, która prowadzi do tolerowania nadużyć i przestępstw w stosunku do dziennikarzy i innych osób działających w obszarze mediów. W sytuacji gdy brak jest perspektyw ścigania sprawców lub takie ściganie wydaje się mało prawdopodobne, sprawcy takich nadużyć i przestępstw nie obawiają się kary. Powoduje to dodatkowe cierpienie ofiar i może prowadzić do powtarzania nadużyć i przestępstw.</w:t>
      </w:r>
    </w:p>
    <w:p w:rsidR="00011F22" w:rsidRDefault="002045B9" w:rsidP="002045B9">
      <w:pPr>
        <w:tabs>
          <w:tab w:val="left" w:pos="709"/>
        </w:tabs>
        <w:rPr>
          <w:rFonts w:eastAsia="SimSun"/>
          <w:lang w:val="pl-PL" w:eastAsia="zh-CN"/>
        </w:rPr>
      </w:pPr>
      <w:r w:rsidRPr="00851725">
        <w:rPr>
          <w:rFonts w:eastAsia="SimSun"/>
          <w:lang w:val="pl-PL" w:eastAsia="zh-CN"/>
        </w:rPr>
        <w:t>25.</w:t>
      </w:r>
      <w:r w:rsidRPr="00851725">
        <w:rPr>
          <w:rFonts w:eastAsia="SimSun"/>
          <w:lang w:val="pl-PL" w:eastAsia="zh-CN"/>
        </w:rPr>
        <w:tab/>
      </w:r>
      <w:r w:rsidR="0035228C">
        <w:rPr>
          <w:rFonts w:eastAsia="SimSun"/>
          <w:lang w:val="pl-PL" w:eastAsia="zh-CN"/>
        </w:rPr>
        <w:t>Państwo ma obowiązek zagwarantować zasadniczą wolność każdej osoby przebywającej w jego jurysdykcji i w tym celu musi zapewnić, że dziennikarze i inne osoby działające aktywn</w:t>
      </w:r>
      <w:r w:rsidR="00602F53">
        <w:rPr>
          <w:rFonts w:eastAsia="SimSun"/>
          <w:lang w:val="pl-PL" w:eastAsia="zh-CN"/>
        </w:rPr>
        <w:t>ie w mediach nie są narażone na arbitralne aresztowania, bezprawne zatrzymania ani porwania</w:t>
      </w:r>
      <w:r w:rsidR="0035228C">
        <w:rPr>
          <w:rFonts w:eastAsia="SimSun"/>
          <w:lang w:val="pl-PL" w:eastAsia="zh-CN"/>
        </w:rPr>
        <w:t>.</w:t>
      </w:r>
    </w:p>
    <w:p w:rsidR="0035228C" w:rsidRDefault="002045B9" w:rsidP="002045B9">
      <w:pPr>
        <w:tabs>
          <w:tab w:val="left" w:pos="709"/>
        </w:tabs>
        <w:rPr>
          <w:rFonts w:eastAsia="SimSun"/>
          <w:lang w:val="pl-PL" w:eastAsia="zh-CN"/>
        </w:rPr>
      </w:pPr>
      <w:r w:rsidRPr="00851725">
        <w:rPr>
          <w:rFonts w:eastAsia="SimSun"/>
          <w:lang w:val="pl-PL" w:eastAsia="zh-CN"/>
        </w:rPr>
        <w:t>26.</w:t>
      </w:r>
      <w:r w:rsidRPr="00851725">
        <w:rPr>
          <w:rFonts w:eastAsia="SimSun"/>
          <w:lang w:val="pl-PL" w:eastAsia="zh-CN"/>
        </w:rPr>
        <w:tab/>
      </w:r>
      <w:r w:rsidR="0035228C">
        <w:rPr>
          <w:rFonts w:eastAsia="SimSun"/>
          <w:lang w:val="pl-PL" w:eastAsia="zh-CN"/>
        </w:rPr>
        <w:t xml:space="preserve">Państwo nie powinno nadmiernie ograniczać swobody poruszania się dziennikarzy i innych osób angażujących się w działalność medialną, co obejmuje </w:t>
      </w:r>
      <w:r w:rsidR="00BF653B">
        <w:rPr>
          <w:rFonts w:eastAsia="SimSun"/>
          <w:lang w:val="pl-PL" w:eastAsia="zh-CN"/>
        </w:rPr>
        <w:t>możliwość podróżowania</w:t>
      </w:r>
      <w:r w:rsidR="0035228C">
        <w:rPr>
          <w:rFonts w:eastAsia="SimSun"/>
          <w:lang w:val="pl-PL" w:eastAsia="zh-CN"/>
        </w:rPr>
        <w:t xml:space="preserve"> między państwami i dostęp do określonych obszarów, stref i miejsc konfliktów</w:t>
      </w:r>
      <w:r w:rsidR="000F500B">
        <w:rPr>
          <w:rFonts w:eastAsia="SimSun"/>
          <w:lang w:val="pl-PL" w:eastAsia="zh-CN"/>
        </w:rPr>
        <w:t>,</w:t>
      </w:r>
      <w:r w:rsidR="0035228C">
        <w:rPr>
          <w:rFonts w:eastAsia="SimSun"/>
          <w:lang w:val="pl-PL" w:eastAsia="zh-CN"/>
        </w:rPr>
        <w:t xml:space="preserve"> ze względu</w:t>
      </w:r>
      <w:r w:rsidR="008F738E">
        <w:rPr>
          <w:rFonts w:eastAsia="SimSun"/>
          <w:lang w:val="pl-PL" w:eastAsia="zh-CN"/>
        </w:rPr>
        <w:t xml:space="preserve"> na ważność takiego porusza</w:t>
      </w:r>
      <w:r w:rsidR="0035228C">
        <w:rPr>
          <w:rFonts w:eastAsia="SimSun"/>
          <w:lang w:val="pl-PL" w:eastAsia="zh-CN"/>
        </w:rPr>
        <w:t>nia się i dostęp</w:t>
      </w:r>
      <w:r w:rsidR="00BF653B">
        <w:rPr>
          <w:rFonts w:eastAsia="SimSun"/>
          <w:lang w:val="pl-PL" w:eastAsia="zh-CN"/>
        </w:rPr>
        <w:t>u</w:t>
      </w:r>
      <w:r w:rsidR="0035228C">
        <w:rPr>
          <w:rFonts w:eastAsia="SimSun"/>
          <w:lang w:val="pl-PL" w:eastAsia="zh-CN"/>
        </w:rPr>
        <w:t xml:space="preserve"> w celu gromadzenia wiadomości i informacji.</w:t>
      </w:r>
    </w:p>
    <w:p w:rsidR="0035228C" w:rsidRDefault="002045B9" w:rsidP="002045B9">
      <w:pPr>
        <w:tabs>
          <w:tab w:val="left" w:pos="709"/>
        </w:tabs>
        <w:rPr>
          <w:lang w:val="pl-PL"/>
        </w:rPr>
      </w:pPr>
      <w:r w:rsidRPr="00851725">
        <w:rPr>
          <w:lang w:val="pl-PL"/>
        </w:rPr>
        <w:t>27.</w:t>
      </w:r>
      <w:r w:rsidRPr="00851725">
        <w:rPr>
          <w:lang w:val="pl-PL"/>
        </w:rPr>
        <w:tab/>
      </w:r>
      <w:r w:rsidR="0035228C">
        <w:rPr>
          <w:lang w:val="pl-PL"/>
        </w:rPr>
        <w:t>Na skuteczność systemu ochrony mogą oddziaływać czynniki wynikające z danej sytuacji, takie jak kryzys lub konflikt</w:t>
      </w:r>
      <w:r w:rsidR="008F738E">
        <w:rPr>
          <w:lang w:val="pl-PL"/>
        </w:rPr>
        <w:t>. W</w:t>
      </w:r>
      <w:r w:rsidR="0035228C">
        <w:rPr>
          <w:lang w:val="pl-PL"/>
        </w:rPr>
        <w:t xml:space="preserve">ystępują </w:t>
      </w:r>
      <w:r w:rsidR="008F738E">
        <w:rPr>
          <w:lang w:val="pl-PL"/>
        </w:rPr>
        <w:t xml:space="preserve">wówczas </w:t>
      </w:r>
      <w:r w:rsidR="0035228C">
        <w:rPr>
          <w:lang w:val="pl-PL"/>
        </w:rPr>
        <w:t>zwiększone ryzyka dla bezpieczeństw</w:t>
      </w:r>
      <w:r w:rsidR="008F738E">
        <w:rPr>
          <w:lang w:val="pl-PL"/>
        </w:rPr>
        <w:t>a i niezależności dziennikarzy oraz</w:t>
      </w:r>
      <w:r w:rsidR="0035228C">
        <w:rPr>
          <w:lang w:val="pl-PL"/>
        </w:rPr>
        <w:t xml:space="preserve"> innych osób uczestnic</w:t>
      </w:r>
      <w:r w:rsidR="008F738E">
        <w:rPr>
          <w:lang w:val="pl-PL"/>
        </w:rPr>
        <w:t>zących w działalności medialnej. Dzieje się tak również</w:t>
      </w:r>
      <w:r w:rsidR="0035228C">
        <w:rPr>
          <w:lang w:val="pl-PL"/>
        </w:rPr>
        <w:t xml:space="preserve"> w sytuacji</w:t>
      </w:r>
      <w:r w:rsidR="008F738E">
        <w:rPr>
          <w:lang w:val="pl-PL"/>
        </w:rPr>
        <w:t>,</w:t>
      </w:r>
      <w:r w:rsidR="0035228C">
        <w:rPr>
          <w:lang w:val="pl-PL"/>
        </w:rPr>
        <w:t xml:space="preserve"> gdy władze państwowe doświadczają trudności w egzekwowaniu faktycznej kontroli nad danym terytorium. Niemniej jednak właściwe obowiązki państw obowiązują w takich określonych kontekstach z uwzględnieniem niezbędnych zmian i podlegają zawsze międzynarodowym przepisom dotyczącym praw człowieka i humanitarnym.</w:t>
      </w:r>
    </w:p>
    <w:p w:rsidR="0035228C" w:rsidRDefault="002045B9" w:rsidP="002045B9">
      <w:pPr>
        <w:tabs>
          <w:tab w:val="left" w:pos="709"/>
        </w:tabs>
        <w:rPr>
          <w:szCs w:val="20"/>
          <w:lang w:val="pl-PL"/>
        </w:rPr>
      </w:pPr>
      <w:r w:rsidRPr="00851725">
        <w:rPr>
          <w:szCs w:val="20"/>
          <w:lang w:val="pl-PL"/>
        </w:rPr>
        <w:t>28.</w:t>
      </w:r>
      <w:r w:rsidRPr="00851725">
        <w:rPr>
          <w:szCs w:val="20"/>
          <w:lang w:val="pl-PL"/>
        </w:rPr>
        <w:tab/>
      </w:r>
      <w:r w:rsidR="0035228C">
        <w:rPr>
          <w:szCs w:val="20"/>
          <w:lang w:val="pl-PL"/>
        </w:rPr>
        <w:t xml:space="preserve">Zapewnienie bezpieczeństwa i ochrony dziennikarzom i innym osobom zaangażowanym w działalność medialną stanowi warunek wstępny dla zapewnienia ich zdolności do skutecznego uczestniczenia w debacie publicznej. Uporczywe zastraszanie, groźby i przemoc wobec dziennikarzy i innych osób działających w mediach w połączeniu z niepostawieniem sprawców takich przestępstw przed </w:t>
      </w:r>
      <w:r w:rsidR="00BF653B">
        <w:rPr>
          <w:szCs w:val="20"/>
          <w:lang w:val="pl-PL"/>
        </w:rPr>
        <w:t>wymiarem sprawiedliwości</w:t>
      </w:r>
      <w:r w:rsidR="0035228C">
        <w:rPr>
          <w:szCs w:val="20"/>
          <w:lang w:val="pl-PL"/>
        </w:rPr>
        <w:t xml:space="preserve"> zwiększają obawy i mają zastraszające oddziaływanie na wolność wyrażania poglądów i debatę publiczną. Państwa są zobowiązane chronić dziennikarzy i inne osoby z</w:t>
      </w:r>
      <w:r w:rsidR="000F500B">
        <w:rPr>
          <w:szCs w:val="20"/>
          <w:lang w:val="pl-PL"/>
        </w:rPr>
        <w:t>aangażowane w działalność medialną</w:t>
      </w:r>
      <w:r w:rsidR="0035228C">
        <w:rPr>
          <w:szCs w:val="20"/>
          <w:lang w:val="pl-PL"/>
        </w:rPr>
        <w:t xml:space="preserve"> przed zastraszaniem, groźbami i przemocą, niez</w:t>
      </w:r>
      <w:r w:rsidR="000F500B">
        <w:rPr>
          <w:szCs w:val="20"/>
          <w:lang w:val="pl-PL"/>
        </w:rPr>
        <w:t>ależnie od ich źródła, które mogą być</w:t>
      </w:r>
      <w:r w:rsidR="0035228C">
        <w:rPr>
          <w:szCs w:val="20"/>
          <w:lang w:val="pl-PL"/>
        </w:rPr>
        <w:t xml:space="preserve"> inspirow</w:t>
      </w:r>
      <w:r w:rsidR="00900673">
        <w:rPr>
          <w:szCs w:val="20"/>
          <w:lang w:val="pl-PL"/>
        </w:rPr>
        <w:t>ane przez organy rządowe, sądy</w:t>
      </w:r>
      <w:r w:rsidR="0035228C">
        <w:rPr>
          <w:szCs w:val="20"/>
          <w:lang w:val="pl-PL"/>
        </w:rPr>
        <w:t>, instytucje religijne, gospodarcze lub przestępcze.</w:t>
      </w:r>
    </w:p>
    <w:p w:rsidR="002045B9" w:rsidRPr="00851725" w:rsidRDefault="0035228C" w:rsidP="002045B9">
      <w:pPr>
        <w:rPr>
          <w:b/>
          <w:i/>
          <w:lang w:val="pl-PL"/>
        </w:rPr>
      </w:pPr>
      <w:r>
        <w:rPr>
          <w:b/>
          <w:i/>
          <w:lang w:val="pl-PL"/>
        </w:rPr>
        <w:t>Wkład w debatę publiczną</w:t>
      </w:r>
    </w:p>
    <w:p w:rsidR="0035228C" w:rsidRDefault="002045B9" w:rsidP="002045B9">
      <w:pPr>
        <w:tabs>
          <w:tab w:val="left" w:pos="709"/>
        </w:tabs>
        <w:rPr>
          <w:lang w:val="pl-PL"/>
        </w:rPr>
      </w:pPr>
      <w:r w:rsidRPr="00851725">
        <w:rPr>
          <w:lang w:val="pl-PL"/>
        </w:rPr>
        <w:t>29.</w:t>
      </w:r>
      <w:r w:rsidRPr="00851725">
        <w:rPr>
          <w:lang w:val="pl-PL"/>
        </w:rPr>
        <w:tab/>
      </w:r>
      <w:r w:rsidR="0035228C">
        <w:rPr>
          <w:lang w:val="pl-PL"/>
        </w:rPr>
        <w:t xml:space="preserve">Dziennikarze i inne osoby </w:t>
      </w:r>
      <w:r w:rsidR="00565EB0">
        <w:rPr>
          <w:lang w:val="pl-PL"/>
        </w:rPr>
        <w:t>uczestniczące w działalności medialnej mają zasadniczy wkład w debatę publiczną i procesy opiniotwórcze w demokratycznym społeczeństwie, patrząc na ręce rządzących w imieniu opi</w:t>
      </w:r>
      <w:r w:rsidR="000F500B">
        <w:rPr>
          <w:lang w:val="pl-PL"/>
        </w:rPr>
        <w:t>nii publicznej i społeczeństwa oraz</w:t>
      </w:r>
      <w:r w:rsidR="00565EB0">
        <w:rPr>
          <w:lang w:val="pl-PL"/>
        </w:rPr>
        <w:t xml:space="preserve"> tworząc wspólną przestrzeń do wymiany informacji i w ramach dyskusji z rozmówcami. Taka rola nadzorcza mediów polega m.in. na informowaniu opinii publicznej o sprawach będących w centrum zainteresowania społeczeństwa, ich komentowaniu, rozliczaniu organów państwowych i innych wpływowych sił, nagłaśnianiu przypadków korupcji i nadużyć władzy.</w:t>
      </w:r>
    </w:p>
    <w:p w:rsidR="00565EB0" w:rsidRDefault="002045B9" w:rsidP="002045B9">
      <w:pPr>
        <w:tabs>
          <w:tab w:val="left" w:pos="709"/>
        </w:tabs>
        <w:spacing w:after="0"/>
        <w:rPr>
          <w:lang w:val="pl-PL"/>
        </w:rPr>
      </w:pPr>
      <w:r w:rsidRPr="00851725">
        <w:rPr>
          <w:lang w:val="pl-PL"/>
        </w:rPr>
        <w:t>30.</w:t>
      </w:r>
      <w:r w:rsidRPr="00851725">
        <w:rPr>
          <w:lang w:val="pl-PL"/>
        </w:rPr>
        <w:tab/>
      </w:r>
      <w:r w:rsidR="00565EB0">
        <w:rPr>
          <w:lang w:val="pl-PL"/>
        </w:rPr>
        <w:t>Aby umożliwić dziennikarzom i innym osobom zaangażowanym w działalność medialną spełnianie zadań przypisanych im w demokratycznym społeczeństwie</w:t>
      </w:r>
      <w:r w:rsidR="00900673">
        <w:rPr>
          <w:lang w:val="pl-PL"/>
        </w:rPr>
        <w:t>,</w:t>
      </w:r>
      <w:r w:rsidR="00565EB0">
        <w:rPr>
          <w:lang w:val="pl-PL"/>
        </w:rPr>
        <w:t xml:space="preserve"> Europejski Trybunał Praw Człowieka uznał, że ich prawo do wyrażania poglądów powinno być w szerokim zakresie chronione. Taka ochrona obejmuje szereg różnych wolności, które są istotne dla wykonywania obowiązków dziennikarskich, takich jak ochrona poufnych źródeł informacji, ochrona przed przeszukiwaniem miejsc</w:t>
      </w:r>
      <w:r w:rsidR="00900673">
        <w:rPr>
          <w:lang w:val="pl-PL"/>
        </w:rPr>
        <w:t>a</w:t>
      </w:r>
      <w:r w:rsidR="00565EB0">
        <w:rPr>
          <w:lang w:val="pl-PL"/>
        </w:rPr>
        <w:t xml:space="preserve"> pracy i zamieszkania i zajmowaniem </w:t>
      </w:r>
      <w:r w:rsidR="00900673">
        <w:rPr>
          <w:lang w:val="pl-PL"/>
        </w:rPr>
        <w:lastRenderedPageBreak/>
        <w:t>materiałów, ochrona procesu</w:t>
      </w:r>
      <w:r w:rsidR="00565EB0">
        <w:rPr>
          <w:lang w:val="pl-PL"/>
        </w:rPr>
        <w:t xml:space="preserve"> gromadzenia wiadomości i informacji oraz autonomia redakcyjna i relacjonowania.</w:t>
      </w:r>
    </w:p>
    <w:p w:rsidR="00565EB0" w:rsidRDefault="002045B9" w:rsidP="002045B9">
      <w:pPr>
        <w:tabs>
          <w:tab w:val="left" w:pos="709"/>
        </w:tabs>
        <w:rPr>
          <w:lang w:val="pl-PL"/>
        </w:rPr>
      </w:pPr>
      <w:r w:rsidRPr="00851725">
        <w:rPr>
          <w:lang w:val="pl-PL"/>
        </w:rPr>
        <w:t>31.</w:t>
      </w:r>
      <w:r w:rsidRPr="00851725">
        <w:rPr>
          <w:lang w:val="pl-PL"/>
        </w:rPr>
        <w:tab/>
      </w:r>
      <w:r w:rsidR="00565EB0">
        <w:rPr>
          <w:lang w:val="pl-PL"/>
        </w:rPr>
        <w:t xml:space="preserve">Wolności związane z działalnością operacyjną lub </w:t>
      </w:r>
      <w:r w:rsidR="00BF653B">
        <w:rPr>
          <w:lang w:val="pl-PL"/>
        </w:rPr>
        <w:t>zadaniami</w:t>
      </w:r>
      <w:r w:rsidR="00565EB0">
        <w:rPr>
          <w:lang w:val="pl-PL"/>
        </w:rPr>
        <w:t xml:space="preserve"> dziennikarzy i innych osób zaangażowanych w działalność medialną, które obejmują groma</w:t>
      </w:r>
      <w:r w:rsidR="00BF653B">
        <w:rPr>
          <w:lang w:val="pl-PL"/>
        </w:rPr>
        <w:t xml:space="preserve">dzenie wiadomości i informacji oraz ich </w:t>
      </w:r>
      <w:r w:rsidR="00565EB0">
        <w:rPr>
          <w:lang w:val="pl-PL"/>
        </w:rPr>
        <w:t>przetwarzanie i rozpowszechnianie</w:t>
      </w:r>
      <w:r w:rsidR="00900673">
        <w:rPr>
          <w:lang w:val="pl-PL"/>
        </w:rPr>
        <w:t>,</w:t>
      </w:r>
      <w:r w:rsidR="00565EB0">
        <w:rPr>
          <w:lang w:val="pl-PL"/>
        </w:rPr>
        <w:t xml:space="preserve"> są konieczne dla zapewnienia skutecznego i rzeczywistego egzekwowania prawa </w:t>
      </w:r>
      <w:r w:rsidR="000F500B">
        <w:rPr>
          <w:lang w:val="pl-PL"/>
        </w:rPr>
        <w:t xml:space="preserve">do </w:t>
      </w:r>
      <w:r w:rsidR="00565EB0">
        <w:rPr>
          <w:lang w:val="pl-PL"/>
        </w:rPr>
        <w:t xml:space="preserve">wolności wyrażania poglądów, zarówno w przestrzeni </w:t>
      </w:r>
      <w:r w:rsidR="000F500B">
        <w:rPr>
          <w:lang w:val="pl-PL"/>
        </w:rPr>
        <w:t>wirtualnej</w:t>
      </w:r>
      <w:r w:rsidR="00565EB0">
        <w:rPr>
          <w:lang w:val="pl-PL"/>
        </w:rPr>
        <w:t xml:space="preserve"> jak i poza Internetem.</w:t>
      </w:r>
    </w:p>
    <w:p w:rsidR="00565EB0" w:rsidRDefault="002045B9" w:rsidP="002045B9">
      <w:pPr>
        <w:tabs>
          <w:tab w:val="left" w:pos="709"/>
        </w:tabs>
        <w:rPr>
          <w:lang w:val="pl-PL"/>
        </w:rPr>
      </w:pPr>
      <w:r w:rsidRPr="00851725">
        <w:rPr>
          <w:lang w:val="pl-PL"/>
        </w:rPr>
        <w:t>32.</w:t>
      </w:r>
      <w:r w:rsidRPr="00851725">
        <w:rPr>
          <w:lang w:val="pl-PL"/>
        </w:rPr>
        <w:tab/>
      </w:r>
      <w:r w:rsidR="00565EB0">
        <w:rPr>
          <w:lang w:val="pl-PL"/>
        </w:rPr>
        <w:t xml:space="preserve">Artykuł 10 Konwencji chroni nie tylko treść wyrażanych idei i informacji ale także formę ich przekazywania. Oznacza to, że dziennikarze i inne osoby uczestniczące w pracy mediów powinny cieszyć się swobodą wyboru własnej techniki lub stylu relacjonowania spraw publicznych, co obejmuje możliwość odwoływania się do pewnego stopnia przesady lub wręcz prowokacji. Oprócz dziennikarstwa także inne formy literackie przyczyniają się do wzmocnienia debaty publicznej na różne sposoby i </w:t>
      </w:r>
      <w:r w:rsidR="00BF653B">
        <w:rPr>
          <w:lang w:val="pl-PL"/>
        </w:rPr>
        <w:t>tym samym powinny być chronione. Dotyczy to na przykład satyry</w:t>
      </w:r>
      <w:r w:rsidR="00565EB0">
        <w:rPr>
          <w:lang w:val="pl-PL"/>
        </w:rPr>
        <w:t>, która jest formą artystycznego wyrażenia</w:t>
      </w:r>
      <w:r w:rsidR="00BF653B">
        <w:rPr>
          <w:lang w:val="pl-PL"/>
        </w:rPr>
        <w:t xml:space="preserve"> idei</w:t>
      </w:r>
      <w:r w:rsidR="00565EB0">
        <w:rPr>
          <w:lang w:val="pl-PL"/>
        </w:rPr>
        <w:t xml:space="preserve"> i społecznego komentarza, </w:t>
      </w:r>
      <w:r w:rsidR="00434365">
        <w:rPr>
          <w:lang w:val="pl-PL"/>
        </w:rPr>
        <w:t xml:space="preserve">której naturalnym celem, </w:t>
      </w:r>
      <w:r w:rsidR="00565EB0">
        <w:rPr>
          <w:lang w:val="pl-PL"/>
        </w:rPr>
        <w:t xml:space="preserve">ze względu na </w:t>
      </w:r>
      <w:r w:rsidR="00434365">
        <w:rPr>
          <w:lang w:val="pl-PL"/>
        </w:rPr>
        <w:t>typową</w:t>
      </w:r>
      <w:r w:rsidR="00565EB0">
        <w:rPr>
          <w:lang w:val="pl-PL"/>
        </w:rPr>
        <w:t xml:space="preserve"> dla niej </w:t>
      </w:r>
      <w:r w:rsidR="00434365">
        <w:rPr>
          <w:lang w:val="pl-PL"/>
        </w:rPr>
        <w:t>przesadę i wypaczanie</w:t>
      </w:r>
      <w:r w:rsidR="00565EB0">
        <w:rPr>
          <w:lang w:val="pl-PL"/>
        </w:rPr>
        <w:t xml:space="preserve"> rzeczywistości, </w:t>
      </w:r>
      <w:r w:rsidR="00434365">
        <w:rPr>
          <w:lang w:val="pl-PL"/>
        </w:rPr>
        <w:t>jest prowokowanie i poruszanie odbiorcami.</w:t>
      </w:r>
    </w:p>
    <w:p w:rsidR="002045B9" w:rsidRPr="00851725" w:rsidRDefault="000F2377" w:rsidP="002045B9">
      <w:pPr>
        <w:rPr>
          <w:b/>
          <w:i/>
          <w:lang w:val="pl-PL"/>
        </w:rPr>
      </w:pPr>
      <w:r>
        <w:rPr>
          <w:b/>
          <w:i/>
          <w:lang w:val="pl-PL"/>
        </w:rPr>
        <w:t>Efekt z</w:t>
      </w:r>
      <w:r w:rsidR="00F175F2">
        <w:rPr>
          <w:b/>
          <w:i/>
          <w:lang w:val="pl-PL"/>
        </w:rPr>
        <w:t>astraszania</w:t>
      </w:r>
    </w:p>
    <w:p w:rsidR="00434365" w:rsidRDefault="002045B9" w:rsidP="002045B9">
      <w:pPr>
        <w:tabs>
          <w:tab w:val="left" w:pos="709"/>
        </w:tabs>
        <w:rPr>
          <w:szCs w:val="20"/>
          <w:lang w:val="pl-PL"/>
        </w:rPr>
      </w:pPr>
      <w:r w:rsidRPr="00851725">
        <w:rPr>
          <w:szCs w:val="20"/>
          <w:lang w:val="pl-PL"/>
        </w:rPr>
        <w:t>33.</w:t>
      </w:r>
      <w:r w:rsidRPr="00851725">
        <w:rPr>
          <w:szCs w:val="20"/>
          <w:lang w:val="pl-PL"/>
        </w:rPr>
        <w:tab/>
      </w:r>
      <w:r w:rsidR="000F2377">
        <w:rPr>
          <w:szCs w:val="20"/>
          <w:lang w:val="pl-PL"/>
        </w:rPr>
        <w:t xml:space="preserve">Efekt zastraszania oddziałuje na wolność wyrażania poglądów w przypadku, gdy ingerencja w to prawo powoduje </w:t>
      </w:r>
      <w:r w:rsidR="00F175F2">
        <w:rPr>
          <w:szCs w:val="20"/>
          <w:lang w:val="pl-PL"/>
        </w:rPr>
        <w:t>s</w:t>
      </w:r>
      <w:r w:rsidR="000F2377">
        <w:rPr>
          <w:szCs w:val="20"/>
          <w:lang w:val="pl-PL"/>
        </w:rPr>
        <w:t>trach, prowadząc do autocenzury i ostatecznie zubożenia debaty publicznej, ze szkodą dla społeczeństwa jako całości. Z tego względu władze państwowe powinny unikać podejmowania działań lub narzucania sankcji, które skutkują zniechęceniem do udziału w debacie publicznej.</w:t>
      </w:r>
    </w:p>
    <w:p w:rsidR="000F2377" w:rsidRDefault="002045B9" w:rsidP="002045B9">
      <w:pPr>
        <w:tabs>
          <w:tab w:val="left" w:pos="709"/>
        </w:tabs>
        <w:rPr>
          <w:lang w:val="pl-PL"/>
        </w:rPr>
      </w:pPr>
      <w:r w:rsidRPr="00851725">
        <w:rPr>
          <w:lang w:val="pl-PL"/>
        </w:rPr>
        <w:t>34.</w:t>
      </w:r>
      <w:r w:rsidRPr="00851725">
        <w:rPr>
          <w:lang w:val="pl-PL"/>
        </w:rPr>
        <w:tab/>
      </w:r>
      <w:r w:rsidR="000F2377">
        <w:rPr>
          <w:lang w:val="pl-PL"/>
        </w:rPr>
        <w:t xml:space="preserve">Przepisy prawne i sposób ich egzekwowania mogą powodować efekt zastraszania w stosunku do wolności wyrażania poglądów i debaty publicznej. Ingerencje przyjmujące formę sankcji karnych budzą większy lęk niż sankcje cywilne. Dlatego nadrzędna pozycja instytucji państwowych wymaga od organów władzy okazywania powściągliwości w uciekaniu się do postępowań karnych. Efekt zastraszania wobec wolności wyrażania poglądów może wynikać nie tylko z nieproporcjonalnych lub </w:t>
      </w:r>
      <w:r w:rsidR="00F175F2">
        <w:rPr>
          <w:lang w:val="pl-PL"/>
        </w:rPr>
        <w:t xml:space="preserve">innych </w:t>
      </w:r>
      <w:r w:rsidR="000F2377">
        <w:rPr>
          <w:lang w:val="pl-PL"/>
        </w:rPr>
        <w:t>sankcji, ale</w:t>
      </w:r>
      <w:r w:rsidR="00900673">
        <w:rPr>
          <w:lang w:val="pl-PL"/>
        </w:rPr>
        <w:t xml:space="preserve"> także z obawy przed sankcjami. N</w:t>
      </w:r>
      <w:r w:rsidR="000F2377">
        <w:rPr>
          <w:lang w:val="pl-PL"/>
        </w:rPr>
        <w:t xml:space="preserve">awet w przypadku ostatecznego uniewinnienia, </w:t>
      </w:r>
      <w:r w:rsidR="00900673">
        <w:rPr>
          <w:lang w:val="pl-PL"/>
        </w:rPr>
        <w:t>osoby ścigane za wyrażanie swoich poglądów mogą odczuwać strach, który będzie zniechęcał je</w:t>
      </w:r>
      <w:r w:rsidR="000F2377">
        <w:rPr>
          <w:lang w:val="pl-PL"/>
        </w:rPr>
        <w:t xml:space="preserve"> </w:t>
      </w:r>
      <w:r w:rsidR="00900673">
        <w:rPr>
          <w:lang w:val="pl-PL"/>
        </w:rPr>
        <w:t>do składania</w:t>
      </w:r>
      <w:r w:rsidR="000F2377">
        <w:rPr>
          <w:lang w:val="pl-PL"/>
        </w:rPr>
        <w:t xml:space="preserve"> podobnych deklaracji w przyszłości.</w:t>
      </w:r>
    </w:p>
    <w:p w:rsidR="000F2377" w:rsidRDefault="002045B9" w:rsidP="002045B9">
      <w:pPr>
        <w:tabs>
          <w:tab w:val="left" w:pos="709"/>
        </w:tabs>
        <w:rPr>
          <w:szCs w:val="20"/>
          <w:lang w:val="pl-PL"/>
        </w:rPr>
      </w:pPr>
      <w:r w:rsidRPr="00851725">
        <w:rPr>
          <w:szCs w:val="20"/>
          <w:lang w:val="pl-PL"/>
        </w:rPr>
        <w:t>35.</w:t>
      </w:r>
      <w:r w:rsidRPr="00851725">
        <w:rPr>
          <w:szCs w:val="20"/>
          <w:lang w:val="pl-PL"/>
        </w:rPr>
        <w:tab/>
      </w:r>
      <w:r w:rsidR="000F2377">
        <w:rPr>
          <w:szCs w:val="20"/>
          <w:lang w:val="pl-PL"/>
        </w:rPr>
        <w:t xml:space="preserve">Chociaż skazywanie winnych jest z reguły kwestią sądów krajowych, nakładanie kary więzienia za przestępstwa prasowe </w:t>
      </w:r>
      <w:r w:rsidR="001107CD">
        <w:rPr>
          <w:szCs w:val="20"/>
          <w:lang w:val="pl-PL"/>
        </w:rPr>
        <w:t xml:space="preserve">może </w:t>
      </w:r>
      <w:r w:rsidR="00900673">
        <w:rPr>
          <w:szCs w:val="20"/>
          <w:lang w:val="pl-PL"/>
        </w:rPr>
        <w:t xml:space="preserve">nie naruszać swobody </w:t>
      </w:r>
      <w:r w:rsidR="001107CD">
        <w:rPr>
          <w:szCs w:val="20"/>
          <w:lang w:val="pl-PL"/>
        </w:rPr>
        <w:t>wyrażania poglądów przez dziennikarzy wyrażoną w artykule 10 Konwencji tylko w wyjątkowych okolicznościach, szczególnie w przypadku, gdy ma miejsce poważne naruszenie innych praw, na przykład w stosunku do mowy nienawiści lub podburzania do przemocy.</w:t>
      </w:r>
    </w:p>
    <w:p w:rsidR="001107CD" w:rsidRDefault="002045B9" w:rsidP="002045B9">
      <w:pPr>
        <w:tabs>
          <w:tab w:val="left" w:pos="709"/>
        </w:tabs>
        <w:rPr>
          <w:lang w:val="pl-PL"/>
        </w:rPr>
      </w:pPr>
      <w:r w:rsidRPr="00851725">
        <w:rPr>
          <w:lang w:val="pl-PL"/>
        </w:rPr>
        <w:t>36.</w:t>
      </w:r>
      <w:r w:rsidRPr="00851725">
        <w:rPr>
          <w:lang w:val="pl-PL"/>
        </w:rPr>
        <w:tab/>
      </w:r>
      <w:r w:rsidR="001107CD">
        <w:rPr>
          <w:lang w:val="pl-PL"/>
        </w:rPr>
        <w:t xml:space="preserve">Rzeczywiste używanie lub nadużywanie lub samo grożenie użyciem różnych rodzajów przepisów prawnych w celu uniemożliwienia udziału w debacie publicznej, w tym przepisów dotyczących zniesławienia, </w:t>
      </w:r>
      <w:r w:rsidR="00E6145C">
        <w:rPr>
          <w:lang w:val="pl-PL"/>
        </w:rPr>
        <w:t>zwalczania terroryzmu</w:t>
      </w:r>
      <w:r w:rsidR="001107CD">
        <w:rPr>
          <w:lang w:val="pl-PL"/>
        </w:rPr>
        <w:t>, bezpieczeństwa narodowego, porządku publicznego, mowy nienawiści, obrazy uczuć religijnych lub pamięci zmarłych</w:t>
      </w:r>
      <w:r w:rsidR="00900673">
        <w:rPr>
          <w:lang w:val="pl-PL"/>
        </w:rPr>
        <w:t>,</w:t>
      </w:r>
      <w:r w:rsidR="001107CD">
        <w:rPr>
          <w:lang w:val="pl-PL"/>
        </w:rPr>
        <w:t xml:space="preserve"> mogą stanowić skuteczne narzędzie służące do zastraszania lub uciszania dziennikarzy i innych osób uczestniczących w działalności medialnej, któr</w:t>
      </w:r>
      <w:r w:rsidR="00900673">
        <w:rPr>
          <w:lang w:val="pl-PL"/>
        </w:rPr>
        <w:t>e</w:t>
      </w:r>
      <w:r w:rsidR="001107CD">
        <w:rPr>
          <w:lang w:val="pl-PL"/>
        </w:rPr>
        <w:t xml:space="preserve"> relacjonują kwestie istotne dla opinii publicznej. </w:t>
      </w:r>
      <w:r w:rsidR="00E6145C">
        <w:rPr>
          <w:lang w:val="pl-PL"/>
        </w:rPr>
        <w:t>Arbitralne</w:t>
      </w:r>
      <w:r w:rsidR="001107CD">
        <w:rPr>
          <w:lang w:val="pl-PL"/>
        </w:rPr>
        <w:t xml:space="preserve">, dokuczliwe lub złośliwe korzystanie z takich przepisów i postępowań prawnych, biorąc pod uwagę wysokie koszty prawne </w:t>
      </w:r>
      <w:r w:rsidR="000458B7">
        <w:rPr>
          <w:lang w:val="pl-PL"/>
        </w:rPr>
        <w:t xml:space="preserve">ponoszone w </w:t>
      </w:r>
      <w:r w:rsidR="00E6145C">
        <w:rPr>
          <w:lang w:val="pl-PL"/>
        </w:rPr>
        <w:t xml:space="preserve">obronie przed </w:t>
      </w:r>
      <w:r w:rsidR="001107CD">
        <w:rPr>
          <w:lang w:val="pl-PL"/>
        </w:rPr>
        <w:t xml:space="preserve">pozwami, może stać się środkiem nacisku i prześladowania, szczególnie w kontekście wielokrotnych pozwów sądowych. Prześladowanie może okazać się szczególnie dokuczliwe w sytuacji, gdy </w:t>
      </w:r>
      <w:r w:rsidR="000458B7">
        <w:rPr>
          <w:lang w:val="pl-PL"/>
        </w:rPr>
        <w:lastRenderedPageBreak/>
        <w:t>dotyczy</w:t>
      </w:r>
      <w:r w:rsidR="001107CD">
        <w:rPr>
          <w:lang w:val="pl-PL"/>
        </w:rPr>
        <w:t xml:space="preserve"> dziennikarzy i innych osób działających w mediach, które nie korzystają z takiej samej ochron</w:t>
      </w:r>
      <w:r w:rsidR="000458B7">
        <w:rPr>
          <w:lang w:val="pl-PL"/>
        </w:rPr>
        <w:t>y</w:t>
      </w:r>
      <w:r w:rsidR="001107CD">
        <w:rPr>
          <w:lang w:val="pl-PL"/>
        </w:rPr>
        <w:t xml:space="preserve"> prawnej lub finansowej i wsparcia instytucjonalnego co duże organizacje medialne. W tym względzie należy przypomnieć, że dla koncepcji uczciwego procesu, zarówno w sprawach cywilnych jak i </w:t>
      </w:r>
      <w:r w:rsidR="00900673">
        <w:rPr>
          <w:lang w:val="pl-PL"/>
        </w:rPr>
        <w:t>karnych</w:t>
      </w:r>
      <w:r w:rsidR="001107CD">
        <w:rPr>
          <w:lang w:val="pl-PL"/>
        </w:rPr>
        <w:t xml:space="preserve">, kluczowe jest, aby pozwanemu nie odmawiano możliwości skutecznego przedstawienia swojej sprawy przed sądem oraz żeby korzystał z takich samych możliwości co powód. Państwa mają obowiązek podejmować odpowiednie działania, które mogą obejmować </w:t>
      </w:r>
      <w:r w:rsidR="000458B7">
        <w:rPr>
          <w:lang w:val="pl-PL"/>
        </w:rPr>
        <w:t>powoływanie</w:t>
      </w:r>
      <w:r w:rsidR="001107CD">
        <w:rPr>
          <w:lang w:val="pl-PL"/>
        </w:rPr>
        <w:t xml:space="preserve"> programów</w:t>
      </w:r>
      <w:r w:rsidR="000458B7">
        <w:rPr>
          <w:lang w:val="pl-PL"/>
        </w:rPr>
        <w:t xml:space="preserve"> pomocy prawnej, żeby zapewnić każdej stronie otrzymanie rozsądnej możliwości</w:t>
      </w:r>
      <w:r w:rsidR="001107CD">
        <w:rPr>
          <w:lang w:val="pl-PL"/>
        </w:rPr>
        <w:t xml:space="preserve"> przedstawienia swojej sprawy w warunkach, które nie stawiają jej w zasadniczo nieuprzywilejowanej pozycji w stosunku do strony przeciwnej.</w:t>
      </w:r>
    </w:p>
    <w:p w:rsidR="001107CD" w:rsidRDefault="002045B9" w:rsidP="002045B9">
      <w:pPr>
        <w:tabs>
          <w:tab w:val="left" w:pos="709"/>
        </w:tabs>
        <w:rPr>
          <w:lang w:val="pl-PL"/>
        </w:rPr>
      </w:pPr>
      <w:r w:rsidRPr="00851725">
        <w:rPr>
          <w:lang w:val="pl-PL"/>
        </w:rPr>
        <w:t>37.</w:t>
      </w:r>
      <w:r w:rsidRPr="00851725">
        <w:rPr>
          <w:lang w:val="pl-PL"/>
        </w:rPr>
        <w:tab/>
      </w:r>
      <w:r w:rsidR="001107CD">
        <w:rPr>
          <w:lang w:val="pl-PL"/>
        </w:rPr>
        <w:t xml:space="preserve">Zastraszający efekt może wynikać także ze stosowania i nadużywania działań administracyjnych takich jak programy rejestracji i akredytacji dziennikarzy, blogerów, użytkowników </w:t>
      </w:r>
      <w:r w:rsidR="00CA6F0F">
        <w:rPr>
          <w:lang w:val="pl-PL"/>
        </w:rPr>
        <w:t>I</w:t>
      </w:r>
      <w:r w:rsidR="001107CD">
        <w:rPr>
          <w:lang w:val="pl-PL"/>
        </w:rPr>
        <w:t xml:space="preserve">nternetu, </w:t>
      </w:r>
      <w:r w:rsidR="00CA6F0F">
        <w:rPr>
          <w:lang w:val="pl-PL"/>
        </w:rPr>
        <w:t xml:space="preserve">zagranicznych korespondentów, </w:t>
      </w:r>
      <w:r w:rsidR="000F1B99">
        <w:rPr>
          <w:lang w:val="pl-PL"/>
        </w:rPr>
        <w:t xml:space="preserve">organizacji pozarządowych, itp. oraz </w:t>
      </w:r>
      <w:r w:rsidR="00FE41BC">
        <w:rPr>
          <w:lang w:val="pl-PL"/>
        </w:rPr>
        <w:t>systemów podatkowych w celu zastraszania dziennikarzy i innych osób zaangażowanych w działalność medialną lub ograniczania ich zdolności do skutecznego uczestniczenia w debacie publicznej. Dyskryminacyjne przydzielanie środków finansowych na media publiczne lub prasę lub przychodów z reklam państwowych może również powodować zastraszanie w stosunku do krytycznych postaw redakcyjnych przyjmowanych przez media, w szczególności w przypadku mniejszych organizacji medialnych i w niepewnym klimacie gospodarczym.</w:t>
      </w:r>
    </w:p>
    <w:p w:rsidR="00FE41BC" w:rsidRDefault="002045B9" w:rsidP="002045B9">
      <w:pPr>
        <w:tabs>
          <w:tab w:val="left" w:pos="709"/>
        </w:tabs>
        <w:rPr>
          <w:lang w:val="pl-PL"/>
        </w:rPr>
      </w:pPr>
      <w:r w:rsidRPr="00851725">
        <w:rPr>
          <w:lang w:val="pl-PL"/>
        </w:rPr>
        <w:t>38.</w:t>
      </w:r>
      <w:r w:rsidRPr="00851725">
        <w:rPr>
          <w:lang w:val="pl-PL"/>
        </w:rPr>
        <w:tab/>
      </w:r>
      <w:r w:rsidR="002649D4">
        <w:rPr>
          <w:lang w:val="pl-PL"/>
        </w:rPr>
        <w:t>Praktyka nadzoru nad dziennikarzami i innymi osobami aktywnymi w mediach oraz śledzenie ich aktywności w Internecie może zagrażać zgodnemu z prawem egzekwowaniu przez nich wolności wypowiedzi, jeśli odbywa się bez niezbędnych zabezpieczeń. Taka praktyka inwigilacji może za</w:t>
      </w:r>
      <w:r w:rsidR="00B84E0C">
        <w:rPr>
          <w:lang w:val="pl-PL"/>
        </w:rPr>
        <w:t>g</w:t>
      </w:r>
      <w:r w:rsidR="002649D4">
        <w:rPr>
          <w:lang w:val="pl-PL"/>
        </w:rPr>
        <w:t>rażać również bezpieczeństwu osób i podważać ochronę źródeł dziennikarskich. Inwigilacja i śledzenie są ułatwione w przypadku, gdy zagrożone jest bezpieczeństwo łączności i systemów komunikacyjnych, na przykład gdy usługodawcy, producenci sprzętu lub oprogramowania wbudowują niejawne narzędzia służące do inwigilacji w swoje usługi lub systemy lub gdy usługodawcy są zamieszani w inwigilację prowadzoną przez państwo. Aby systemy niejawnej inwigilacji były zgodne z artykułem</w:t>
      </w:r>
      <w:r w:rsidR="005B0FC5">
        <w:rPr>
          <w:lang w:val="pl-PL"/>
        </w:rPr>
        <w:t xml:space="preserve"> 8</w:t>
      </w:r>
      <w:r w:rsidR="002649D4">
        <w:rPr>
          <w:lang w:val="pl-PL"/>
        </w:rPr>
        <w:t xml:space="preserve"> Konwencji o ochronie praw człowieka, muszą zawierać odpowiednie i skuteczne zabezpieczenia przed nadużyciami, m.in. niezależny nadzór, gdyż takie systemy tworzone do ochrony bezpieczeństwa narodowego pociągają za sobą ryzyko podważania a nawet niszczenia demokracji pod płaszczykiem jej obrony.</w:t>
      </w:r>
    </w:p>
    <w:p w:rsidR="002649D4" w:rsidRDefault="002045B9" w:rsidP="002045B9">
      <w:pPr>
        <w:tabs>
          <w:tab w:val="left" w:pos="709"/>
        </w:tabs>
        <w:rPr>
          <w:rFonts w:eastAsia="SimSun"/>
          <w:lang w:val="pl-PL" w:eastAsia="zh-CN"/>
        </w:rPr>
      </w:pPr>
      <w:r w:rsidRPr="00851725">
        <w:rPr>
          <w:rFonts w:eastAsia="SimSun"/>
          <w:lang w:val="pl-PL" w:eastAsia="zh-CN"/>
        </w:rPr>
        <w:t>39.</w:t>
      </w:r>
      <w:r w:rsidRPr="00851725">
        <w:rPr>
          <w:rFonts w:eastAsia="SimSun"/>
          <w:lang w:val="pl-PL" w:eastAsia="zh-CN"/>
        </w:rPr>
        <w:tab/>
      </w:r>
      <w:r w:rsidR="002649D4">
        <w:rPr>
          <w:rFonts w:eastAsia="SimSun"/>
          <w:lang w:val="pl-PL" w:eastAsia="zh-CN"/>
        </w:rPr>
        <w:t>Ataki na dziennikarzy i inne osoby zaangażowane w działalność medialną i ich zastraszanie mus</w:t>
      </w:r>
      <w:r w:rsidR="00085225">
        <w:rPr>
          <w:rFonts w:eastAsia="SimSun"/>
          <w:lang w:val="pl-PL" w:eastAsia="zh-CN"/>
        </w:rPr>
        <w:t>zą</w:t>
      </w:r>
      <w:r w:rsidR="002649D4">
        <w:rPr>
          <w:rFonts w:eastAsia="SimSun"/>
          <w:lang w:val="pl-PL" w:eastAsia="zh-CN"/>
        </w:rPr>
        <w:t xml:space="preserve"> powodować efekt ograniczania wolności wyrażania poglądów i taki efekt zastraszania jest ostrzejszy, gdy występowaniu ataków i zastraszania towarzyszy kultura bezkarności sądowej ich sprawców. Taka kultura bezkarności wskazuje na </w:t>
      </w:r>
      <w:r w:rsidR="005F0CC5">
        <w:rPr>
          <w:rFonts w:eastAsia="SimSun"/>
          <w:lang w:val="pl-PL" w:eastAsia="zh-CN"/>
        </w:rPr>
        <w:t>łamanie</w:t>
      </w:r>
      <w:r w:rsidR="002649D4">
        <w:rPr>
          <w:rFonts w:eastAsia="SimSun"/>
          <w:lang w:val="pl-PL" w:eastAsia="zh-CN"/>
        </w:rPr>
        <w:t xml:space="preserve"> praw człowieka.</w:t>
      </w:r>
    </w:p>
    <w:sectPr w:rsidR="002649D4" w:rsidSect="0041404E">
      <w:headerReference w:type="default" r:id="rId10"/>
      <w:footerReference w:type="default" r:id="rId11"/>
      <w:headerReference w:type="first" r:id="rId12"/>
      <w:footerReference w:type="first" r:id="rId13"/>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8C" w:rsidRDefault="004F098C" w:rsidP="002045B9">
      <w:pPr>
        <w:spacing w:before="0" w:after="0"/>
      </w:pPr>
      <w:r>
        <w:separator/>
      </w:r>
    </w:p>
  </w:endnote>
  <w:endnote w:type="continuationSeparator" w:id="0">
    <w:p w:rsidR="004F098C" w:rsidRDefault="004F098C" w:rsidP="002045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83" w:rsidRDefault="00580083">
    <w:pPr>
      <w:pStyle w:val="Stopka"/>
      <w:jc w:val="center"/>
    </w:pPr>
    <w:r>
      <w:fldChar w:fldCharType="begin"/>
    </w:r>
    <w:r>
      <w:instrText>PAGE   \* MERGEFORMAT</w:instrText>
    </w:r>
    <w:r>
      <w:fldChar w:fldCharType="separate"/>
    </w:r>
    <w:r w:rsidR="00F35825" w:rsidRPr="00F35825">
      <w:rPr>
        <w:noProof/>
        <w:lang w:val="fr-FR"/>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7766"/>
      <w:docPartObj>
        <w:docPartGallery w:val="Page Numbers (Bottom of Page)"/>
        <w:docPartUnique/>
      </w:docPartObj>
    </w:sdtPr>
    <w:sdtEndPr/>
    <w:sdtContent>
      <w:p w:rsidR="00580083" w:rsidRDefault="00580083">
        <w:pPr>
          <w:pStyle w:val="Stopka"/>
          <w:jc w:val="center"/>
        </w:pPr>
        <w:r>
          <w:fldChar w:fldCharType="begin"/>
        </w:r>
        <w:r>
          <w:instrText>PAGE   \* MERGEFORMAT</w:instrText>
        </w:r>
        <w:r>
          <w:fldChar w:fldCharType="separate"/>
        </w:r>
        <w:r w:rsidR="00F35825" w:rsidRPr="00F35825">
          <w:rPr>
            <w:noProof/>
            <w:lang w:val="fr-F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8C" w:rsidRDefault="004F098C" w:rsidP="002045B9">
      <w:pPr>
        <w:spacing w:before="0" w:after="0"/>
      </w:pPr>
      <w:r>
        <w:separator/>
      </w:r>
    </w:p>
  </w:footnote>
  <w:footnote w:type="continuationSeparator" w:id="0">
    <w:p w:rsidR="004F098C" w:rsidRDefault="004F098C" w:rsidP="002045B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83" w:rsidRPr="002158C3" w:rsidRDefault="00580083" w:rsidP="002045B9">
    <w:pPr>
      <w:pStyle w:val="Nagwek"/>
      <w:tabs>
        <w:tab w:val="clear" w:pos="8640"/>
        <w:tab w:val="right" w:pos="9356"/>
      </w:tabs>
      <w:spacing w:after="120"/>
      <w:jc w:val="right"/>
      <w:rPr>
        <w:rFonts w:cstheme="majorHAnsi"/>
        <w:b w:val="0"/>
        <w:i w:val="0"/>
        <w:sz w:val="16"/>
        <w:szCs w:val="16"/>
      </w:rPr>
    </w:pPr>
    <w:r>
      <w:rPr>
        <w:rFonts w:cstheme="majorHAnsi"/>
        <w:b w:val="0"/>
        <w:i w:val="0"/>
        <w:sz w:val="16"/>
        <w:szCs w:val="16"/>
      </w:rPr>
      <w:t>MSI-JO(2014)11 rev</w:t>
    </w:r>
    <w:r>
      <w:rPr>
        <w:rFonts w:cstheme="majorHAnsi"/>
        <w:b w:val="0"/>
        <w:i w:val="0"/>
        <w:sz w:val="16"/>
        <w:szCs w:val="16"/>
      </w:rPr>
      <w:tab/>
    </w:r>
    <w:r>
      <w:rPr>
        <w:rFonts w:cstheme="majorHAnsi"/>
        <w:b w:val="0"/>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83" w:rsidRDefault="00580083" w:rsidP="0041404E">
    <w:pPr>
      <w:pStyle w:val="Nagwek"/>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2F6A"/>
    <w:multiLevelType w:val="hybridMultilevel"/>
    <w:tmpl w:val="E2DCBEC8"/>
    <w:lvl w:ilvl="0" w:tplc="7840CBE0">
      <w:start w:val="1"/>
      <w:numFmt w:val="lowerRoman"/>
      <w:pStyle w:val="Body1Indent"/>
      <w:lvlText w:val="(%1)"/>
      <w:lvlJc w:val="left"/>
      <w:pPr>
        <w:ind w:left="644" w:hanging="360"/>
      </w:pPr>
      <w:rPr>
        <w:rFonts w:ascii="Verdana" w:hAnsi="Verdana" w:hint="default"/>
        <w:sz w:val="20"/>
      </w:rPr>
    </w:lvl>
    <w:lvl w:ilvl="1" w:tplc="040C0003" w:tentative="1">
      <w:start w:val="1"/>
      <w:numFmt w:val="bullet"/>
      <w:lvlText w:val="o"/>
      <w:lvlJc w:val="left"/>
      <w:pPr>
        <w:ind w:left="1724" w:hanging="360"/>
      </w:pPr>
      <w:rPr>
        <w:rFonts w:ascii="Courier New" w:hAnsi="Courier New"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Aria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Arial"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B9"/>
    <w:rsid w:val="00010B23"/>
    <w:rsid w:val="00011F22"/>
    <w:rsid w:val="000245DC"/>
    <w:rsid w:val="0002716B"/>
    <w:rsid w:val="0003684C"/>
    <w:rsid w:val="00036872"/>
    <w:rsid w:val="00041B61"/>
    <w:rsid w:val="000458B7"/>
    <w:rsid w:val="00065B12"/>
    <w:rsid w:val="00082672"/>
    <w:rsid w:val="00085225"/>
    <w:rsid w:val="00095BA4"/>
    <w:rsid w:val="000A0701"/>
    <w:rsid w:val="000A109F"/>
    <w:rsid w:val="000A129C"/>
    <w:rsid w:val="000C110F"/>
    <w:rsid w:val="000F1B99"/>
    <w:rsid w:val="000F2377"/>
    <w:rsid w:val="000F3D9D"/>
    <w:rsid w:val="000F4AFE"/>
    <w:rsid w:val="000F500B"/>
    <w:rsid w:val="001107CD"/>
    <w:rsid w:val="00123817"/>
    <w:rsid w:val="00150C4E"/>
    <w:rsid w:val="00154AAD"/>
    <w:rsid w:val="0016218B"/>
    <w:rsid w:val="00162BCB"/>
    <w:rsid w:val="00174186"/>
    <w:rsid w:val="0017689B"/>
    <w:rsid w:val="00183BBE"/>
    <w:rsid w:val="00185CF0"/>
    <w:rsid w:val="001B1059"/>
    <w:rsid w:val="001B793E"/>
    <w:rsid w:val="001E4DAD"/>
    <w:rsid w:val="001F095B"/>
    <w:rsid w:val="001F4170"/>
    <w:rsid w:val="001F79AD"/>
    <w:rsid w:val="002045B9"/>
    <w:rsid w:val="002074A7"/>
    <w:rsid w:val="00212A36"/>
    <w:rsid w:val="00223098"/>
    <w:rsid w:val="00225140"/>
    <w:rsid w:val="002649D4"/>
    <w:rsid w:val="002829AF"/>
    <w:rsid w:val="00291369"/>
    <w:rsid w:val="002A309D"/>
    <w:rsid w:val="002B6723"/>
    <w:rsid w:val="002D1460"/>
    <w:rsid w:val="002D376A"/>
    <w:rsid w:val="002F0C9F"/>
    <w:rsid w:val="002F28D3"/>
    <w:rsid w:val="002F3587"/>
    <w:rsid w:val="002F581F"/>
    <w:rsid w:val="00302754"/>
    <w:rsid w:val="00307DDC"/>
    <w:rsid w:val="00324B36"/>
    <w:rsid w:val="0033360F"/>
    <w:rsid w:val="00336BB3"/>
    <w:rsid w:val="0034664E"/>
    <w:rsid w:val="00347A4C"/>
    <w:rsid w:val="0035228C"/>
    <w:rsid w:val="003A0765"/>
    <w:rsid w:val="003A4E1F"/>
    <w:rsid w:val="003C259C"/>
    <w:rsid w:val="003D2201"/>
    <w:rsid w:val="003E5D10"/>
    <w:rsid w:val="003F2A8E"/>
    <w:rsid w:val="00410B8C"/>
    <w:rsid w:val="0041404E"/>
    <w:rsid w:val="00434365"/>
    <w:rsid w:val="00457F60"/>
    <w:rsid w:val="004629C4"/>
    <w:rsid w:val="00473166"/>
    <w:rsid w:val="00476220"/>
    <w:rsid w:val="00476CF3"/>
    <w:rsid w:val="00482601"/>
    <w:rsid w:val="00492BC3"/>
    <w:rsid w:val="004C07B2"/>
    <w:rsid w:val="004E0980"/>
    <w:rsid w:val="004F098C"/>
    <w:rsid w:val="004F105A"/>
    <w:rsid w:val="004F27AC"/>
    <w:rsid w:val="00505502"/>
    <w:rsid w:val="00516E38"/>
    <w:rsid w:val="005221E7"/>
    <w:rsid w:val="005308A8"/>
    <w:rsid w:val="00533B77"/>
    <w:rsid w:val="005529DC"/>
    <w:rsid w:val="005532BE"/>
    <w:rsid w:val="00565EB0"/>
    <w:rsid w:val="00570B79"/>
    <w:rsid w:val="005770B5"/>
    <w:rsid w:val="00580083"/>
    <w:rsid w:val="00585E17"/>
    <w:rsid w:val="00590016"/>
    <w:rsid w:val="00595873"/>
    <w:rsid w:val="005A4057"/>
    <w:rsid w:val="005B0FC5"/>
    <w:rsid w:val="005C23BC"/>
    <w:rsid w:val="005C56FF"/>
    <w:rsid w:val="005E03AE"/>
    <w:rsid w:val="005E1594"/>
    <w:rsid w:val="005E2913"/>
    <w:rsid w:val="005E2A22"/>
    <w:rsid w:val="005E3835"/>
    <w:rsid w:val="005F0CC5"/>
    <w:rsid w:val="006000EF"/>
    <w:rsid w:val="00602F53"/>
    <w:rsid w:val="00604E65"/>
    <w:rsid w:val="00617D95"/>
    <w:rsid w:val="006309BD"/>
    <w:rsid w:val="00632A81"/>
    <w:rsid w:val="00652990"/>
    <w:rsid w:val="0065406F"/>
    <w:rsid w:val="0066120D"/>
    <w:rsid w:val="00674BF6"/>
    <w:rsid w:val="006812CC"/>
    <w:rsid w:val="006834E6"/>
    <w:rsid w:val="0068443E"/>
    <w:rsid w:val="00697E37"/>
    <w:rsid w:val="006A4B7F"/>
    <w:rsid w:val="006C72B9"/>
    <w:rsid w:val="006C7ED5"/>
    <w:rsid w:val="006E51B4"/>
    <w:rsid w:val="00702AF6"/>
    <w:rsid w:val="007358D4"/>
    <w:rsid w:val="007564E7"/>
    <w:rsid w:val="00764CE7"/>
    <w:rsid w:val="0078331F"/>
    <w:rsid w:val="007A27B2"/>
    <w:rsid w:val="007B10E2"/>
    <w:rsid w:val="007C3327"/>
    <w:rsid w:val="007C5F65"/>
    <w:rsid w:val="007D4D38"/>
    <w:rsid w:val="0080233C"/>
    <w:rsid w:val="00834EA3"/>
    <w:rsid w:val="00846A95"/>
    <w:rsid w:val="00851725"/>
    <w:rsid w:val="00872468"/>
    <w:rsid w:val="008810A6"/>
    <w:rsid w:val="008A5DA5"/>
    <w:rsid w:val="008A76CB"/>
    <w:rsid w:val="008B6D93"/>
    <w:rsid w:val="008E4B0F"/>
    <w:rsid w:val="008F738E"/>
    <w:rsid w:val="00900673"/>
    <w:rsid w:val="0091660B"/>
    <w:rsid w:val="009214A6"/>
    <w:rsid w:val="00921A07"/>
    <w:rsid w:val="0093145E"/>
    <w:rsid w:val="00934A9C"/>
    <w:rsid w:val="00941AFF"/>
    <w:rsid w:val="00941EB5"/>
    <w:rsid w:val="00962FBA"/>
    <w:rsid w:val="00966DDF"/>
    <w:rsid w:val="00973DC1"/>
    <w:rsid w:val="009B268E"/>
    <w:rsid w:val="009C310A"/>
    <w:rsid w:val="009C4FD1"/>
    <w:rsid w:val="009D1EB2"/>
    <w:rsid w:val="009D53CC"/>
    <w:rsid w:val="009D5F94"/>
    <w:rsid w:val="009E3F23"/>
    <w:rsid w:val="009F190D"/>
    <w:rsid w:val="009F1E4C"/>
    <w:rsid w:val="00A053F0"/>
    <w:rsid w:val="00A059FE"/>
    <w:rsid w:val="00A05FDA"/>
    <w:rsid w:val="00A06847"/>
    <w:rsid w:val="00A1453A"/>
    <w:rsid w:val="00A26C4D"/>
    <w:rsid w:val="00A27ADF"/>
    <w:rsid w:val="00A302E1"/>
    <w:rsid w:val="00A42643"/>
    <w:rsid w:val="00A60B7D"/>
    <w:rsid w:val="00A704ED"/>
    <w:rsid w:val="00A906B7"/>
    <w:rsid w:val="00AA378B"/>
    <w:rsid w:val="00AB4326"/>
    <w:rsid w:val="00AF1ED6"/>
    <w:rsid w:val="00B00AE4"/>
    <w:rsid w:val="00B04103"/>
    <w:rsid w:val="00B22685"/>
    <w:rsid w:val="00B51082"/>
    <w:rsid w:val="00B67430"/>
    <w:rsid w:val="00B711FF"/>
    <w:rsid w:val="00B84E0C"/>
    <w:rsid w:val="00B8615B"/>
    <w:rsid w:val="00BA1897"/>
    <w:rsid w:val="00BC0CBE"/>
    <w:rsid w:val="00BC3CBE"/>
    <w:rsid w:val="00BF1F79"/>
    <w:rsid w:val="00BF653B"/>
    <w:rsid w:val="00C0076C"/>
    <w:rsid w:val="00C017BE"/>
    <w:rsid w:val="00C02212"/>
    <w:rsid w:val="00C05582"/>
    <w:rsid w:val="00C30421"/>
    <w:rsid w:val="00C32AA0"/>
    <w:rsid w:val="00C60C1F"/>
    <w:rsid w:val="00C7605E"/>
    <w:rsid w:val="00C973F4"/>
    <w:rsid w:val="00CA6F0F"/>
    <w:rsid w:val="00CB07EB"/>
    <w:rsid w:val="00CC3797"/>
    <w:rsid w:val="00CD27C4"/>
    <w:rsid w:val="00CF67BE"/>
    <w:rsid w:val="00D13533"/>
    <w:rsid w:val="00D25D42"/>
    <w:rsid w:val="00D4284C"/>
    <w:rsid w:val="00D51802"/>
    <w:rsid w:val="00D565EB"/>
    <w:rsid w:val="00D72B35"/>
    <w:rsid w:val="00D73FFE"/>
    <w:rsid w:val="00D850E1"/>
    <w:rsid w:val="00DA33F3"/>
    <w:rsid w:val="00DB08F5"/>
    <w:rsid w:val="00DC086B"/>
    <w:rsid w:val="00DC7F6B"/>
    <w:rsid w:val="00DD2C9F"/>
    <w:rsid w:val="00DE043A"/>
    <w:rsid w:val="00DE1B5E"/>
    <w:rsid w:val="00E1256E"/>
    <w:rsid w:val="00E162F1"/>
    <w:rsid w:val="00E24F75"/>
    <w:rsid w:val="00E27920"/>
    <w:rsid w:val="00E33E47"/>
    <w:rsid w:val="00E37EC1"/>
    <w:rsid w:val="00E6145C"/>
    <w:rsid w:val="00E7114D"/>
    <w:rsid w:val="00E84AEF"/>
    <w:rsid w:val="00E8614C"/>
    <w:rsid w:val="00EA646C"/>
    <w:rsid w:val="00EB50C8"/>
    <w:rsid w:val="00EC70ED"/>
    <w:rsid w:val="00EE1D3C"/>
    <w:rsid w:val="00EE632C"/>
    <w:rsid w:val="00EF486D"/>
    <w:rsid w:val="00F175F2"/>
    <w:rsid w:val="00F35825"/>
    <w:rsid w:val="00F56A6A"/>
    <w:rsid w:val="00F57B60"/>
    <w:rsid w:val="00F61B4B"/>
    <w:rsid w:val="00F83FA1"/>
    <w:rsid w:val="00F8730F"/>
    <w:rsid w:val="00F91B5C"/>
    <w:rsid w:val="00FA1C7A"/>
    <w:rsid w:val="00FA7474"/>
    <w:rsid w:val="00FE1D58"/>
    <w:rsid w:val="00FE2CF1"/>
    <w:rsid w:val="00FE3EFB"/>
    <w:rsid w:val="00FE41BC"/>
    <w:rsid w:val="00FE73AF"/>
    <w:rsid w:val="00FF49C8"/>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5B9"/>
    <w:pPr>
      <w:spacing w:before="240" w:after="240" w:line="240" w:lineRule="auto"/>
      <w:jc w:val="both"/>
    </w:pPr>
    <w:rPr>
      <w:rFonts w:ascii="Verdana" w:eastAsia="Times New Roman" w:hAnsi="Verdana" w:cs="Times New Roman"/>
      <w:sz w:val="20"/>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1Indent">
    <w:name w:val="Body 1 Indent"/>
    <w:basedOn w:val="Body1"/>
    <w:next w:val="Body1"/>
    <w:rsid w:val="002045B9"/>
    <w:pPr>
      <w:numPr>
        <w:numId w:val="1"/>
      </w:numPr>
      <w:tabs>
        <w:tab w:val="clear" w:pos="567"/>
        <w:tab w:val="left" w:pos="284"/>
        <w:tab w:val="left" w:pos="851"/>
      </w:tabs>
      <w:spacing w:before="120" w:after="120"/>
    </w:pPr>
    <w:rPr>
      <w:rFonts w:eastAsia="Times New Roman"/>
    </w:rPr>
  </w:style>
  <w:style w:type="paragraph" w:customStyle="1" w:styleId="Body1">
    <w:name w:val="Body 1"/>
    <w:rsid w:val="002045B9"/>
    <w:pPr>
      <w:tabs>
        <w:tab w:val="left" w:pos="567"/>
      </w:tabs>
      <w:spacing w:before="240" w:after="240" w:line="240" w:lineRule="auto"/>
      <w:ind w:left="567" w:hanging="567"/>
      <w:jc w:val="both"/>
      <w:outlineLvl w:val="0"/>
    </w:pPr>
    <w:rPr>
      <w:rFonts w:ascii="Verdana" w:eastAsia="ヒラギノ角ゴ Pro W3" w:hAnsi="Verdana" w:cs="Times New Roman"/>
      <w:color w:val="000000"/>
      <w:sz w:val="20"/>
      <w:szCs w:val="20"/>
      <w:lang w:eastAsia="fr-FR"/>
    </w:rPr>
  </w:style>
  <w:style w:type="paragraph" w:styleId="Nagwek">
    <w:name w:val="header"/>
    <w:basedOn w:val="Normalny"/>
    <w:link w:val="NagwekZnak"/>
    <w:rsid w:val="002045B9"/>
    <w:pPr>
      <w:tabs>
        <w:tab w:val="center" w:pos="4320"/>
        <w:tab w:val="right" w:pos="8640"/>
      </w:tabs>
      <w:spacing w:after="840"/>
      <w:jc w:val="left"/>
    </w:pPr>
    <w:rPr>
      <w:b/>
      <w:i/>
    </w:rPr>
  </w:style>
  <w:style w:type="character" w:customStyle="1" w:styleId="NagwekZnak">
    <w:name w:val="Nagłówek Znak"/>
    <w:basedOn w:val="Domylnaczcionkaakapitu"/>
    <w:link w:val="Nagwek"/>
    <w:rsid w:val="002045B9"/>
    <w:rPr>
      <w:rFonts w:ascii="Verdana" w:eastAsia="Times New Roman" w:hAnsi="Verdana" w:cs="Times New Roman"/>
      <w:b/>
      <w:i/>
      <w:sz w:val="20"/>
      <w:szCs w:val="24"/>
      <w:lang w:val="en-GB"/>
    </w:rPr>
  </w:style>
  <w:style w:type="paragraph" w:styleId="Stopka">
    <w:name w:val="footer"/>
    <w:basedOn w:val="Normalny"/>
    <w:link w:val="StopkaZnak"/>
    <w:uiPriority w:val="99"/>
    <w:rsid w:val="002045B9"/>
    <w:pPr>
      <w:tabs>
        <w:tab w:val="center" w:pos="4320"/>
        <w:tab w:val="right" w:pos="8640"/>
      </w:tabs>
    </w:pPr>
  </w:style>
  <w:style w:type="character" w:customStyle="1" w:styleId="StopkaZnak">
    <w:name w:val="Stopka Znak"/>
    <w:basedOn w:val="Domylnaczcionkaakapitu"/>
    <w:link w:val="Stopka"/>
    <w:uiPriority w:val="99"/>
    <w:rsid w:val="002045B9"/>
    <w:rPr>
      <w:rFonts w:ascii="Verdana" w:eastAsia="Times New Roman" w:hAnsi="Verdana" w:cs="Times New Roman"/>
      <w:sz w:val="20"/>
      <w:szCs w:val="24"/>
      <w:lang w:val="en-GB"/>
    </w:rPr>
  </w:style>
  <w:style w:type="character" w:styleId="Odwoanieprzypisudolnego">
    <w:name w:val="footnote reference"/>
    <w:uiPriority w:val="99"/>
    <w:rsid w:val="002045B9"/>
    <w:rPr>
      <w:rFonts w:ascii="Verdana" w:hAnsi="Verdana"/>
      <w:sz w:val="20"/>
      <w:vertAlign w:val="superscript"/>
    </w:rPr>
  </w:style>
  <w:style w:type="paragraph" w:styleId="Bezodstpw">
    <w:name w:val="No Spacing"/>
    <w:uiPriority w:val="1"/>
    <w:qFormat/>
    <w:rsid w:val="002045B9"/>
    <w:pPr>
      <w:spacing w:after="0" w:line="240" w:lineRule="auto"/>
      <w:ind w:left="709"/>
    </w:pPr>
    <w:rPr>
      <w:rFonts w:ascii="Verdana" w:eastAsia="Times New Roman" w:hAnsi="Verdana" w:cs="Times New Roman"/>
      <w:sz w:val="20"/>
      <w:szCs w:val="24"/>
      <w:lang w:val="en-GB" w:eastAsia="fr-FR"/>
    </w:rPr>
  </w:style>
  <w:style w:type="paragraph" w:styleId="Tekstdymka">
    <w:name w:val="Balloon Text"/>
    <w:basedOn w:val="Normalny"/>
    <w:link w:val="TekstdymkaZnak"/>
    <w:uiPriority w:val="99"/>
    <w:semiHidden/>
    <w:unhideWhenUsed/>
    <w:rsid w:val="002045B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045B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5B9"/>
    <w:pPr>
      <w:spacing w:before="240" w:after="240" w:line="240" w:lineRule="auto"/>
      <w:jc w:val="both"/>
    </w:pPr>
    <w:rPr>
      <w:rFonts w:ascii="Verdana" w:eastAsia="Times New Roman" w:hAnsi="Verdana" w:cs="Times New Roman"/>
      <w:sz w:val="20"/>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1Indent">
    <w:name w:val="Body 1 Indent"/>
    <w:basedOn w:val="Body1"/>
    <w:next w:val="Body1"/>
    <w:rsid w:val="002045B9"/>
    <w:pPr>
      <w:numPr>
        <w:numId w:val="1"/>
      </w:numPr>
      <w:tabs>
        <w:tab w:val="clear" w:pos="567"/>
        <w:tab w:val="left" w:pos="284"/>
        <w:tab w:val="left" w:pos="851"/>
      </w:tabs>
      <w:spacing w:before="120" w:after="120"/>
    </w:pPr>
    <w:rPr>
      <w:rFonts w:eastAsia="Times New Roman"/>
    </w:rPr>
  </w:style>
  <w:style w:type="paragraph" w:customStyle="1" w:styleId="Body1">
    <w:name w:val="Body 1"/>
    <w:rsid w:val="002045B9"/>
    <w:pPr>
      <w:tabs>
        <w:tab w:val="left" w:pos="567"/>
      </w:tabs>
      <w:spacing w:before="240" w:after="240" w:line="240" w:lineRule="auto"/>
      <w:ind w:left="567" w:hanging="567"/>
      <w:jc w:val="both"/>
      <w:outlineLvl w:val="0"/>
    </w:pPr>
    <w:rPr>
      <w:rFonts w:ascii="Verdana" w:eastAsia="ヒラギノ角ゴ Pro W3" w:hAnsi="Verdana" w:cs="Times New Roman"/>
      <w:color w:val="000000"/>
      <w:sz w:val="20"/>
      <w:szCs w:val="20"/>
      <w:lang w:eastAsia="fr-FR"/>
    </w:rPr>
  </w:style>
  <w:style w:type="paragraph" w:styleId="Nagwek">
    <w:name w:val="header"/>
    <w:basedOn w:val="Normalny"/>
    <w:link w:val="NagwekZnak"/>
    <w:rsid w:val="002045B9"/>
    <w:pPr>
      <w:tabs>
        <w:tab w:val="center" w:pos="4320"/>
        <w:tab w:val="right" w:pos="8640"/>
      </w:tabs>
      <w:spacing w:after="840"/>
      <w:jc w:val="left"/>
    </w:pPr>
    <w:rPr>
      <w:b/>
      <w:i/>
    </w:rPr>
  </w:style>
  <w:style w:type="character" w:customStyle="1" w:styleId="NagwekZnak">
    <w:name w:val="Nagłówek Znak"/>
    <w:basedOn w:val="Domylnaczcionkaakapitu"/>
    <w:link w:val="Nagwek"/>
    <w:rsid w:val="002045B9"/>
    <w:rPr>
      <w:rFonts w:ascii="Verdana" w:eastAsia="Times New Roman" w:hAnsi="Verdana" w:cs="Times New Roman"/>
      <w:b/>
      <w:i/>
      <w:sz w:val="20"/>
      <w:szCs w:val="24"/>
      <w:lang w:val="en-GB"/>
    </w:rPr>
  </w:style>
  <w:style w:type="paragraph" w:styleId="Stopka">
    <w:name w:val="footer"/>
    <w:basedOn w:val="Normalny"/>
    <w:link w:val="StopkaZnak"/>
    <w:uiPriority w:val="99"/>
    <w:rsid w:val="002045B9"/>
    <w:pPr>
      <w:tabs>
        <w:tab w:val="center" w:pos="4320"/>
        <w:tab w:val="right" w:pos="8640"/>
      </w:tabs>
    </w:pPr>
  </w:style>
  <w:style w:type="character" w:customStyle="1" w:styleId="StopkaZnak">
    <w:name w:val="Stopka Znak"/>
    <w:basedOn w:val="Domylnaczcionkaakapitu"/>
    <w:link w:val="Stopka"/>
    <w:uiPriority w:val="99"/>
    <w:rsid w:val="002045B9"/>
    <w:rPr>
      <w:rFonts w:ascii="Verdana" w:eastAsia="Times New Roman" w:hAnsi="Verdana" w:cs="Times New Roman"/>
      <w:sz w:val="20"/>
      <w:szCs w:val="24"/>
      <w:lang w:val="en-GB"/>
    </w:rPr>
  </w:style>
  <w:style w:type="character" w:styleId="Odwoanieprzypisudolnego">
    <w:name w:val="footnote reference"/>
    <w:uiPriority w:val="99"/>
    <w:rsid w:val="002045B9"/>
    <w:rPr>
      <w:rFonts w:ascii="Verdana" w:hAnsi="Verdana"/>
      <w:sz w:val="20"/>
      <w:vertAlign w:val="superscript"/>
    </w:rPr>
  </w:style>
  <w:style w:type="paragraph" w:styleId="Bezodstpw">
    <w:name w:val="No Spacing"/>
    <w:uiPriority w:val="1"/>
    <w:qFormat/>
    <w:rsid w:val="002045B9"/>
    <w:pPr>
      <w:spacing w:after="0" w:line="240" w:lineRule="auto"/>
      <w:ind w:left="709"/>
    </w:pPr>
    <w:rPr>
      <w:rFonts w:ascii="Verdana" w:eastAsia="Times New Roman" w:hAnsi="Verdana" w:cs="Times New Roman"/>
      <w:sz w:val="20"/>
      <w:szCs w:val="24"/>
      <w:lang w:val="en-GB" w:eastAsia="fr-FR"/>
    </w:rPr>
  </w:style>
  <w:style w:type="paragraph" w:styleId="Tekstdymka">
    <w:name w:val="Balloon Text"/>
    <w:basedOn w:val="Normalny"/>
    <w:link w:val="TekstdymkaZnak"/>
    <w:uiPriority w:val="99"/>
    <w:semiHidden/>
    <w:unhideWhenUsed/>
    <w:rsid w:val="002045B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045B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fajw.wordpress.com/tag/miedzynarodowy-dzien-prawa-do-informacj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8788</Words>
  <Characters>52734</Characters>
  <Application>Microsoft Office Word</Application>
  <DocSecurity>0</DocSecurity>
  <Lines>439</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61400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Elvana Thaci</dc:creator>
  <cp:lastModifiedBy>Krynska Joanna</cp:lastModifiedBy>
  <cp:revision>2</cp:revision>
  <dcterms:created xsi:type="dcterms:W3CDTF">2016-01-27T14:24:00Z</dcterms:created>
  <dcterms:modified xsi:type="dcterms:W3CDTF">2016-01-27T14:24:00Z</dcterms:modified>
</cp:coreProperties>
</file>